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53E" w:rsidRPr="00CF214F" w:rsidRDefault="0022153E" w:rsidP="00153E76">
      <w:pPr>
        <w:spacing w:after="0"/>
        <w:jc w:val="center"/>
        <w:rPr>
          <w:rFonts w:ascii="Times New Roman" w:hAnsi="Times New Roman" w:cs="Times New Roman"/>
          <w:b/>
          <w:sz w:val="24"/>
          <w:szCs w:val="24"/>
        </w:rPr>
      </w:pPr>
      <w:r w:rsidRPr="00CF214F">
        <w:rPr>
          <w:rFonts w:ascii="Times New Roman" w:hAnsi="Times New Roman" w:cs="Times New Roman"/>
          <w:b/>
          <w:sz w:val="24"/>
          <w:szCs w:val="24"/>
        </w:rPr>
        <w:t>Informácia</w:t>
      </w:r>
    </w:p>
    <w:p w:rsidR="0022153E" w:rsidRPr="00CF214F" w:rsidRDefault="0022153E" w:rsidP="00153E76">
      <w:pPr>
        <w:spacing w:after="0"/>
        <w:jc w:val="center"/>
        <w:rPr>
          <w:rFonts w:ascii="Times New Roman" w:hAnsi="Times New Roman" w:cs="Times New Roman"/>
          <w:b/>
          <w:sz w:val="24"/>
          <w:szCs w:val="24"/>
        </w:rPr>
      </w:pPr>
    </w:p>
    <w:p w:rsidR="0022153E" w:rsidRPr="00CF214F" w:rsidRDefault="00947AEA" w:rsidP="00153E76">
      <w:pPr>
        <w:spacing w:after="0"/>
        <w:jc w:val="center"/>
        <w:rPr>
          <w:rFonts w:ascii="Times New Roman" w:hAnsi="Times New Roman" w:cs="Times New Roman"/>
          <w:b/>
          <w:sz w:val="24"/>
          <w:szCs w:val="24"/>
        </w:rPr>
      </w:pPr>
      <w:r w:rsidRPr="00CF214F">
        <w:rPr>
          <w:rFonts w:ascii="Times New Roman" w:hAnsi="Times New Roman" w:cs="Times New Roman"/>
          <w:b/>
          <w:sz w:val="24"/>
          <w:szCs w:val="24"/>
        </w:rPr>
        <w:t xml:space="preserve">k legislatívnym návrhom </w:t>
      </w:r>
      <w:r w:rsidR="002763A4" w:rsidRPr="00CF214F">
        <w:rPr>
          <w:rFonts w:ascii="Times New Roman" w:hAnsi="Times New Roman" w:cs="Times New Roman"/>
          <w:b/>
          <w:sz w:val="24"/>
          <w:szCs w:val="24"/>
        </w:rPr>
        <w:t>EK, ktorých cieľom je vytvoriť</w:t>
      </w:r>
      <w:r w:rsidRPr="00CF214F">
        <w:rPr>
          <w:rFonts w:ascii="Times New Roman" w:hAnsi="Times New Roman" w:cs="Times New Roman"/>
          <w:b/>
          <w:sz w:val="24"/>
          <w:szCs w:val="24"/>
        </w:rPr>
        <w:t xml:space="preserve"> jednotn</w:t>
      </w:r>
      <w:r w:rsidR="002763A4" w:rsidRPr="00CF214F">
        <w:rPr>
          <w:rFonts w:ascii="Times New Roman" w:hAnsi="Times New Roman" w:cs="Times New Roman"/>
          <w:b/>
          <w:sz w:val="24"/>
          <w:szCs w:val="24"/>
        </w:rPr>
        <w:t xml:space="preserve">ý </w:t>
      </w:r>
      <w:r w:rsidRPr="00CF214F">
        <w:rPr>
          <w:rFonts w:ascii="Times New Roman" w:hAnsi="Times New Roman" w:cs="Times New Roman"/>
          <w:b/>
          <w:sz w:val="24"/>
          <w:szCs w:val="24"/>
        </w:rPr>
        <w:t>mechanizmu</w:t>
      </w:r>
      <w:r w:rsidR="002763A4" w:rsidRPr="00CF214F">
        <w:rPr>
          <w:rFonts w:ascii="Times New Roman" w:hAnsi="Times New Roman" w:cs="Times New Roman"/>
          <w:b/>
          <w:sz w:val="24"/>
          <w:szCs w:val="24"/>
        </w:rPr>
        <w:t>s</w:t>
      </w:r>
      <w:r w:rsidRPr="00CF214F">
        <w:rPr>
          <w:rFonts w:ascii="Times New Roman" w:hAnsi="Times New Roman" w:cs="Times New Roman"/>
          <w:b/>
          <w:sz w:val="24"/>
          <w:szCs w:val="24"/>
        </w:rPr>
        <w:t xml:space="preserve"> dohľadu v rámci EÚ, ktorý by mal byť prvým pilierom na vytvorenie bankovej únie.</w:t>
      </w:r>
    </w:p>
    <w:p w:rsidR="00A8025E" w:rsidRPr="00CF214F" w:rsidRDefault="00A8025E" w:rsidP="00153E76">
      <w:pPr>
        <w:spacing w:after="0"/>
        <w:rPr>
          <w:rFonts w:ascii="Times New Roman" w:hAnsi="Times New Roman" w:cs="Times New Roman"/>
          <w:sz w:val="24"/>
          <w:szCs w:val="24"/>
        </w:rPr>
      </w:pPr>
    </w:p>
    <w:p w:rsidR="002B4938" w:rsidRPr="00CF214F" w:rsidRDefault="0022153E" w:rsidP="00153E76">
      <w:pPr>
        <w:spacing w:after="0"/>
        <w:jc w:val="both"/>
        <w:rPr>
          <w:rFonts w:ascii="Times New Roman" w:hAnsi="Times New Roman" w:cs="Times New Roman"/>
          <w:b/>
          <w:sz w:val="24"/>
          <w:szCs w:val="24"/>
        </w:rPr>
      </w:pPr>
      <w:r w:rsidRPr="00CF214F">
        <w:rPr>
          <w:rFonts w:ascii="Times New Roman" w:hAnsi="Times New Roman" w:cs="Times New Roman"/>
          <w:sz w:val="24"/>
          <w:szCs w:val="24"/>
        </w:rPr>
        <w:t xml:space="preserve">Ministerstvo financií SR predkladá na rokovanie vlády Slovenskej republiky informáciu </w:t>
      </w:r>
      <w:r w:rsidR="002B4938" w:rsidRPr="00CF214F">
        <w:rPr>
          <w:rFonts w:ascii="Times New Roman" w:hAnsi="Times New Roman" w:cs="Times New Roman"/>
          <w:sz w:val="24"/>
          <w:szCs w:val="24"/>
        </w:rPr>
        <w:t>k predloženým návrhom nariadení s cieľom udeliť dodatočné právomocí ECB a EBA, ktoré by mali byť základom na vytvore</w:t>
      </w:r>
      <w:bookmarkStart w:id="0" w:name="_GoBack"/>
      <w:bookmarkEnd w:id="0"/>
      <w:r w:rsidR="002B4938" w:rsidRPr="00CF214F">
        <w:rPr>
          <w:rFonts w:ascii="Times New Roman" w:hAnsi="Times New Roman" w:cs="Times New Roman"/>
          <w:sz w:val="24"/>
          <w:szCs w:val="24"/>
        </w:rPr>
        <w:t xml:space="preserve">nie prvého piliera bankovej únie, t. j. jednotného mechanizmu dohľadu a návrh postupu v ďalšej fáze rokovania. </w:t>
      </w:r>
    </w:p>
    <w:p w:rsidR="006872B2" w:rsidRPr="00CF214F" w:rsidRDefault="006872B2" w:rsidP="00153E76">
      <w:pPr>
        <w:spacing w:after="0"/>
        <w:jc w:val="both"/>
        <w:rPr>
          <w:rFonts w:ascii="Times New Roman" w:hAnsi="Times New Roman" w:cs="Times New Roman"/>
          <w:sz w:val="24"/>
          <w:szCs w:val="24"/>
        </w:rPr>
      </w:pPr>
    </w:p>
    <w:p w:rsidR="006872B2" w:rsidRPr="00CF214F" w:rsidRDefault="002B4938" w:rsidP="00153E76">
      <w:pPr>
        <w:pStyle w:val="Odsekzoznamu"/>
        <w:numPr>
          <w:ilvl w:val="0"/>
          <w:numId w:val="2"/>
        </w:numPr>
        <w:spacing w:after="0"/>
        <w:jc w:val="both"/>
        <w:rPr>
          <w:rFonts w:ascii="Times New Roman" w:hAnsi="Times New Roman" w:cs="Times New Roman"/>
          <w:sz w:val="24"/>
          <w:szCs w:val="24"/>
        </w:rPr>
      </w:pPr>
      <w:r w:rsidRPr="00CF214F">
        <w:rPr>
          <w:rFonts w:ascii="Times New Roman" w:hAnsi="Times New Roman" w:cs="Times New Roman"/>
          <w:b/>
          <w:sz w:val="24"/>
          <w:szCs w:val="24"/>
        </w:rPr>
        <w:t>Všeobecná informácia</w:t>
      </w:r>
    </w:p>
    <w:p w:rsidR="0022153E" w:rsidRPr="00CF214F" w:rsidRDefault="00E83F66" w:rsidP="00153E76">
      <w:pPr>
        <w:autoSpaceDE w:val="0"/>
        <w:autoSpaceDN w:val="0"/>
        <w:adjustRightInd w:val="0"/>
        <w:spacing w:after="0"/>
        <w:jc w:val="both"/>
        <w:rPr>
          <w:rStyle w:val="longtext"/>
          <w:rFonts w:ascii="Times New Roman" w:hAnsi="Times New Roman" w:cs="Times New Roman"/>
          <w:sz w:val="24"/>
          <w:szCs w:val="24"/>
        </w:rPr>
      </w:pPr>
      <w:r w:rsidRPr="00CF214F">
        <w:rPr>
          <w:rFonts w:ascii="Times New Roman" w:hAnsi="Times New Roman" w:cs="Times New Roman"/>
          <w:sz w:val="24"/>
          <w:szCs w:val="24"/>
        </w:rPr>
        <w:t>Na rokovanie Európskej rady dňa 29-30.</w:t>
      </w:r>
      <w:r w:rsidR="006A7CD2" w:rsidRPr="00CF214F">
        <w:rPr>
          <w:rFonts w:ascii="Times New Roman" w:hAnsi="Times New Roman" w:cs="Times New Roman"/>
          <w:sz w:val="24"/>
          <w:szCs w:val="24"/>
        </w:rPr>
        <w:t xml:space="preserve"> </w:t>
      </w:r>
      <w:r w:rsidRPr="00CF214F">
        <w:rPr>
          <w:rFonts w:ascii="Times New Roman" w:hAnsi="Times New Roman" w:cs="Times New Roman"/>
          <w:sz w:val="24"/>
          <w:szCs w:val="24"/>
        </w:rPr>
        <w:t>6.</w:t>
      </w:r>
      <w:r w:rsidR="006A7CD2" w:rsidRPr="00CF214F">
        <w:rPr>
          <w:rFonts w:ascii="Times New Roman" w:hAnsi="Times New Roman" w:cs="Times New Roman"/>
          <w:sz w:val="24"/>
          <w:szCs w:val="24"/>
        </w:rPr>
        <w:t xml:space="preserve"> </w:t>
      </w:r>
      <w:r w:rsidRPr="00CF214F">
        <w:rPr>
          <w:rFonts w:ascii="Times New Roman" w:hAnsi="Times New Roman" w:cs="Times New Roman"/>
          <w:sz w:val="24"/>
          <w:szCs w:val="24"/>
        </w:rPr>
        <w:t>2012 predložil jej predseda Herman Van Rompuy správu, v ktorej načrtol víziu budúcej hospodárskej a menovej únie a spôsob, ako môže budúca EMU najlepšie prispieť k rastu, zamestnanosti a stabilite. V správe sa navrhujú opatrenia počas najbližších desiatich rokov smerom k skutočnej hospodárskej a menovej únii, ktoré by podľa správy mala stáť na štyroch základných pilieroch</w:t>
      </w:r>
      <w:r w:rsidR="00CE2440" w:rsidRPr="00CF214F">
        <w:rPr>
          <w:rFonts w:ascii="Times New Roman" w:hAnsi="Times New Roman" w:cs="Times New Roman"/>
          <w:sz w:val="24"/>
          <w:szCs w:val="24"/>
        </w:rPr>
        <w:t xml:space="preserve">, pričom jeden z týchto pilierov tvorí </w:t>
      </w:r>
      <w:r w:rsidRPr="00CF214F">
        <w:rPr>
          <w:rFonts w:ascii="Times New Roman" w:hAnsi="Times New Roman" w:cs="Times New Roman"/>
          <w:sz w:val="24"/>
          <w:szCs w:val="24"/>
        </w:rPr>
        <w:t>integrovaný finančný rámec</w:t>
      </w:r>
      <w:r w:rsidR="00CE2440" w:rsidRPr="00CF214F">
        <w:rPr>
          <w:rFonts w:ascii="Times New Roman" w:hAnsi="Times New Roman" w:cs="Times New Roman"/>
          <w:sz w:val="24"/>
          <w:szCs w:val="24"/>
        </w:rPr>
        <w:t xml:space="preserve"> na zabezpečenie finančnej stability, najmä v eurozóne s cieľom minimalizácie nákladov na zlyhania bánk pre európskych občanov. V takomto rámci sa zodpovednosť za dohľad presúva na európsku úroveň a vytvárajú sa spoločné mechanizmy na osobitnú reštrukturalizáciu bánk a ochrany vkladov občanov.</w:t>
      </w:r>
    </w:p>
    <w:p w:rsidR="00E83F66" w:rsidRPr="00CF214F" w:rsidRDefault="00E83F66" w:rsidP="00153E76">
      <w:pPr>
        <w:spacing w:after="0"/>
        <w:jc w:val="both"/>
        <w:rPr>
          <w:rStyle w:val="longtext"/>
          <w:rFonts w:ascii="Times New Roman" w:hAnsi="Times New Roman" w:cs="Times New Roman"/>
          <w:sz w:val="24"/>
          <w:szCs w:val="24"/>
        </w:rPr>
      </w:pPr>
    </w:p>
    <w:p w:rsidR="00E83F66" w:rsidRPr="00CF214F" w:rsidRDefault="00CE2440" w:rsidP="00153E76">
      <w:pPr>
        <w:spacing w:after="0"/>
        <w:jc w:val="both"/>
        <w:rPr>
          <w:rStyle w:val="longtext"/>
          <w:rFonts w:ascii="Times New Roman" w:hAnsi="Times New Roman" w:cs="Times New Roman"/>
          <w:sz w:val="24"/>
          <w:szCs w:val="24"/>
        </w:rPr>
      </w:pPr>
      <w:r w:rsidRPr="00CF214F">
        <w:rPr>
          <w:rStyle w:val="longtext"/>
          <w:rFonts w:ascii="Times New Roman" w:hAnsi="Times New Roman" w:cs="Times New Roman"/>
          <w:sz w:val="24"/>
          <w:szCs w:val="24"/>
        </w:rPr>
        <w:t>Integrovaný finančný rámec sa skladá z týchto základných pilierov:</w:t>
      </w:r>
    </w:p>
    <w:p w:rsidR="00E83F66" w:rsidRPr="00CF214F" w:rsidRDefault="00E83F66" w:rsidP="00153E76">
      <w:pPr>
        <w:pStyle w:val="Odsekzoznamu"/>
        <w:numPr>
          <w:ilvl w:val="0"/>
          <w:numId w:val="6"/>
        </w:numPr>
        <w:spacing w:after="0"/>
        <w:jc w:val="both"/>
        <w:rPr>
          <w:rFonts w:ascii="Times New Roman" w:hAnsi="Times New Roman" w:cs="Times New Roman"/>
          <w:sz w:val="24"/>
          <w:szCs w:val="24"/>
        </w:rPr>
      </w:pPr>
      <w:r w:rsidRPr="00CF214F">
        <w:rPr>
          <w:rFonts w:ascii="Times New Roman" w:hAnsi="Times New Roman" w:cs="Times New Roman"/>
          <w:sz w:val="24"/>
          <w:szCs w:val="24"/>
        </w:rPr>
        <w:t>Jednotný mechanizmus dohľadu - na úrovni EÚ je podľa návrhu nevyhnutný pre aplikáciu prudenciálnych požiadaviek, kontrolu rizika a prevenciu krízy v rámci EÚ. Európsky systém dohľadu by mal fungovať spoločne s národnými systémami, pričom však európsky systém bude mať finálnu zodpovednosť. Cieľom je vyrovnať efektívnosť jednotlivých národných systémov dohľadu nad finančným trhom.</w:t>
      </w:r>
    </w:p>
    <w:p w:rsidR="00E83F66" w:rsidRPr="00CF214F" w:rsidRDefault="00E83F66" w:rsidP="00153E76">
      <w:pPr>
        <w:pStyle w:val="Odsekzoznamu"/>
        <w:numPr>
          <w:ilvl w:val="0"/>
          <w:numId w:val="6"/>
        </w:num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Jednotný rámec ochrany vkladov - je druhým hlavným prvkom </w:t>
      </w:r>
      <w:r w:rsidR="006A7CD2" w:rsidRPr="00CF214F">
        <w:rPr>
          <w:rFonts w:ascii="Times New Roman" w:hAnsi="Times New Roman" w:cs="Times New Roman"/>
          <w:sz w:val="24"/>
          <w:szCs w:val="24"/>
        </w:rPr>
        <w:t>Integrovaného finančného rámca</w:t>
      </w:r>
      <w:r w:rsidRPr="00CF214F">
        <w:rPr>
          <w:rFonts w:ascii="Times New Roman" w:hAnsi="Times New Roman" w:cs="Times New Roman"/>
          <w:sz w:val="24"/>
          <w:szCs w:val="24"/>
        </w:rPr>
        <w:t xml:space="preserve">. </w:t>
      </w:r>
      <w:r w:rsidR="006A7CD2" w:rsidRPr="00CF214F">
        <w:rPr>
          <w:rFonts w:ascii="Times New Roman" w:hAnsi="Times New Roman" w:cs="Times New Roman"/>
          <w:sz w:val="24"/>
          <w:szCs w:val="24"/>
        </w:rPr>
        <w:t>Predpokladá sa zavedenie európskej schémy</w:t>
      </w:r>
      <w:r w:rsidRPr="00CF214F">
        <w:rPr>
          <w:rFonts w:ascii="Times New Roman" w:hAnsi="Times New Roman" w:cs="Times New Roman"/>
          <w:sz w:val="24"/>
          <w:szCs w:val="24"/>
        </w:rPr>
        <w:t xml:space="preserve"> ochrany vkladov pre banky. Táto schéma by mala posilniť dôveryhodnosť jednotlivých národných schém a zabezpečiť, aby boli depozitá všetkých finančných inštitúcií v dostatočnej miere poistené</w:t>
      </w:r>
    </w:p>
    <w:p w:rsidR="00E83F66" w:rsidRPr="00CF214F" w:rsidRDefault="00E83F66" w:rsidP="00153E76">
      <w:pPr>
        <w:pStyle w:val="Odsekzoznamu"/>
        <w:numPr>
          <w:ilvl w:val="0"/>
          <w:numId w:val="6"/>
        </w:numPr>
        <w:spacing w:after="0"/>
        <w:jc w:val="both"/>
        <w:rPr>
          <w:rFonts w:ascii="Times New Roman" w:hAnsi="Times New Roman" w:cs="Times New Roman"/>
          <w:sz w:val="24"/>
          <w:szCs w:val="24"/>
        </w:rPr>
      </w:pPr>
      <w:r w:rsidRPr="00CF214F">
        <w:rPr>
          <w:rFonts w:ascii="Times New Roman" w:hAnsi="Times New Roman" w:cs="Times New Roman"/>
          <w:sz w:val="24"/>
          <w:szCs w:val="24"/>
        </w:rPr>
        <w:t>Európsky rezolučný rámec – mal by byť primárne financovaný z príspevkov bánk a slúži</w:t>
      </w:r>
      <w:r w:rsidR="006A7CD2" w:rsidRPr="00CF214F">
        <w:rPr>
          <w:rFonts w:ascii="Times New Roman" w:hAnsi="Times New Roman" w:cs="Times New Roman"/>
          <w:sz w:val="24"/>
          <w:szCs w:val="24"/>
        </w:rPr>
        <w:t>ť by mal n</w:t>
      </w:r>
      <w:r w:rsidRPr="00CF214F">
        <w:rPr>
          <w:rFonts w:ascii="Times New Roman" w:hAnsi="Times New Roman" w:cs="Times New Roman"/>
          <w:sz w:val="24"/>
          <w:szCs w:val="24"/>
        </w:rPr>
        <w:t>a financovanie rezolúcie v zmysle rozhodnutí európskeho systému dohľadu.</w:t>
      </w:r>
    </w:p>
    <w:p w:rsidR="00E83F66" w:rsidRPr="00CF214F" w:rsidRDefault="00E83F66" w:rsidP="00153E76">
      <w:pPr>
        <w:pStyle w:val="Odsekzoznamu"/>
        <w:numPr>
          <w:ilvl w:val="0"/>
          <w:numId w:val="6"/>
        </w:numPr>
        <w:spacing w:after="0"/>
        <w:jc w:val="both"/>
        <w:rPr>
          <w:rFonts w:ascii="Times New Roman" w:hAnsi="Times New Roman" w:cs="Times New Roman"/>
          <w:sz w:val="24"/>
          <w:szCs w:val="24"/>
        </w:rPr>
      </w:pPr>
      <w:r w:rsidRPr="00CF214F">
        <w:rPr>
          <w:rFonts w:ascii="Times New Roman" w:hAnsi="Times New Roman" w:cs="Times New Roman"/>
          <w:sz w:val="24"/>
          <w:szCs w:val="24"/>
        </w:rPr>
        <w:t>Vytvorenie jednotných pravidiel pre všetky finančné inštitúcie na vnútornom trhu EÚ – tzv. single rule book</w:t>
      </w:r>
      <w:r w:rsidR="006A7CD2" w:rsidRPr="00CF214F">
        <w:rPr>
          <w:rFonts w:ascii="Times New Roman" w:hAnsi="Times New Roman" w:cs="Times New Roman"/>
          <w:sz w:val="24"/>
          <w:szCs w:val="24"/>
        </w:rPr>
        <w:t>(bankový balíček známy pod skratkou CRD IV je v súčasnosti v procese rokovania v trialógu)</w:t>
      </w:r>
      <w:r w:rsidRPr="00CF214F">
        <w:rPr>
          <w:rFonts w:ascii="Times New Roman" w:hAnsi="Times New Roman" w:cs="Times New Roman"/>
          <w:sz w:val="24"/>
          <w:szCs w:val="24"/>
        </w:rPr>
        <w:t>.</w:t>
      </w:r>
    </w:p>
    <w:p w:rsidR="0022153E" w:rsidRPr="00CF214F" w:rsidRDefault="0022153E" w:rsidP="00153E76">
      <w:pPr>
        <w:spacing w:after="0"/>
        <w:jc w:val="both"/>
        <w:rPr>
          <w:rStyle w:val="longtext"/>
          <w:rFonts w:ascii="Times New Roman" w:hAnsi="Times New Roman" w:cs="Times New Roman"/>
          <w:sz w:val="24"/>
          <w:szCs w:val="24"/>
        </w:rPr>
      </w:pPr>
    </w:p>
    <w:p w:rsidR="00E83F66" w:rsidRPr="00CF214F" w:rsidRDefault="00E83F66" w:rsidP="00153E76">
      <w:pPr>
        <w:spacing w:after="0"/>
        <w:jc w:val="both"/>
        <w:rPr>
          <w:rStyle w:val="longtext"/>
          <w:rFonts w:ascii="Times New Roman" w:hAnsi="Times New Roman" w:cs="Times New Roman"/>
          <w:sz w:val="24"/>
          <w:szCs w:val="24"/>
        </w:rPr>
      </w:pPr>
      <w:r w:rsidRPr="00CF214F">
        <w:rPr>
          <w:rStyle w:val="longtext"/>
          <w:rFonts w:ascii="Times New Roman" w:hAnsi="Times New Roman" w:cs="Times New Roman"/>
          <w:sz w:val="24"/>
          <w:szCs w:val="24"/>
        </w:rPr>
        <w:t xml:space="preserve">Na základe tejto správy boli </w:t>
      </w:r>
      <w:r w:rsidR="004E67C4" w:rsidRPr="00CF214F">
        <w:rPr>
          <w:rStyle w:val="longtext"/>
          <w:rFonts w:ascii="Times New Roman" w:hAnsi="Times New Roman" w:cs="Times New Roman"/>
          <w:sz w:val="24"/>
          <w:szCs w:val="24"/>
        </w:rPr>
        <w:t xml:space="preserve">kolégiom komisárov </w:t>
      </w:r>
      <w:r w:rsidRPr="00CF214F">
        <w:rPr>
          <w:rStyle w:val="longtext"/>
          <w:rFonts w:ascii="Times New Roman" w:hAnsi="Times New Roman" w:cs="Times New Roman"/>
          <w:sz w:val="24"/>
          <w:szCs w:val="24"/>
        </w:rPr>
        <w:t>dňa 11. Septembra 2012 predstavené dva legislatívne návrhy</w:t>
      </w:r>
      <w:r w:rsidR="004E67C4" w:rsidRPr="00CF214F">
        <w:rPr>
          <w:rStyle w:val="longtext"/>
          <w:rFonts w:ascii="Times New Roman" w:hAnsi="Times New Roman" w:cs="Times New Roman"/>
          <w:sz w:val="24"/>
          <w:szCs w:val="24"/>
        </w:rPr>
        <w:t xml:space="preserve"> a dokument EK</w:t>
      </w:r>
      <w:r w:rsidRPr="00CF214F">
        <w:rPr>
          <w:rStyle w:val="longtext"/>
          <w:rFonts w:ascii="Times New Roman" w:hAnsi="Times New Roman" w:cs="Times New Roman"/>
          <w:sz w:val="24"/>
          <w:szCs w:val="24"/>
        </w:rPr>
        <w:t xml:space="preserve">, ktoré </w:t>
      </w:r>
      <w:r w:rsidR="004E67C4" w:rsidRPr="00CF214F">
        <w:rPr>
          <w:rStyle w:val="longtext"/>
          <w:rFonts w:ascii="Times New Roman" w:hAnsi="Times New Roman" w:cs="Times New Roman"/>
          <w:sz w:val="24"/>
          <w:szCs w:val="24"/>
        </w:rPr>
        <w:t>majú vytvárať</w:t>
      </w:r>
      <w:r w:rsidRPr="00CF214F">
        <w:rPr>
          <w:rStyle w:val="longtext"/>
          <w:rFonts w:ascii="Times New Roman" w:hAnsi="Times New Roman" w:cs="Times New Roman"/>
          <w:sz w:val="24"/>
          <w:szCs w:val="24"/>
        </w:rPr>
        <w:t xml:space="preserve"> základné predpoklady na úspešné </w:t>
      </w:r>
      <w:r w:rsidR="004E67C4" w:rsidRPr="00CF214F">
        <w:rPr>
          <w:rStyle w:val="longtext"/>
          <w:rFonts w:ascii="Times New Roman" w:hAnsi="Times New Roman" w:cs="Times New Roman"/>
          <w:sz w:val="24"/>
          <w:szCs w:val="24"/>
        </w:rPr>
        <w:t>spustenie</w:t>
      </w:r>
      <w:r w:rsidRPr="00CF214F">
        <w:rPr>
          <w:rStyle w:val="longtext"/>
          <w:rFonts w:ascii="Times New Roman" w:hAnsi="Times New Roman" w:cs="Times New Roman"/>
          <w:sz w:val="24"/>
          <w:szCs w:val="24"/>
        </w:rPr>
        <w:t xml:space="preserve"> prvého piliera bankovej únie – jednotn</w:t>
      </w:r>
      <w:r w:rsidR="004E67C4" w:rsidRPr="00CF214F">
        <w:rPr>
          <w:rStyle w:val="longtext"/>
          <w:rFonts w:ascii="Times New Roman" w:hAnsi="Times New Roman" w:cs="Times New Roman"/>
          <w:sz w:val="24"/>
          <w:szCs w:val="24"/>
        </w:rPr>
        <w:t xml:space="preserve">ého </w:t>
      </w:r>
      <w:r w:rsidRPr="00CF214F">
        <w:rPr>
          <w:rStyle w:val="longtext"/>
          <w:rFonts w:ascii="Times New Roman" w:hAnsi="Times New Roman" w:cs="Times New Roman"/>
          <w:sz w:val="24"/>
          <w:szCs w:val="24"/>
        </w:rPr>
        <w:t>mechanizmus dohľadu. Ide o tieto legislatívne návrhy</w:t>
      </w:r>
      <w:r w:rsidR="004E67C4" w:rsidRPr="00CF214F">
        <w:rPr>
          <w:rStyle w:val="longtext"/>
          <w:rFonts w:ascii="Times New Roman" w:hAnsi="Times New Roman" w:cs="Times New Roman"/>
          <w:sz w:val="24"/>
          <w:szCs w:val="24"/>
        </w:rPr>
        <w:t xml:space="preserve"> a dokument EK</w:t>
      </w:r>
      <w:r w:rsidRPr="00CF214F">
        <w:rPr>
          <w:rStyle w:val="longtext"/>
          <w:rFonts w:ascii="Times New Roman" w:hAnsi="Times New Roman" w:cs="Times New Roman"/>
          <w:sz w:val="24"/>
          <w:szCs w:val="24"/>
        </w:rPr>
        <w:t>:</w:t>
      </w:r>
    </w:p>
    <w:p w:rsidR="004E67C4" w:rsidRPr="00CF214F" w:rsidRDefault="004E67C4" w:rsidP="00153E76">
      <w:pPr>
        <w:numPr>
          <w:ilvl w:val="0"/>
          <w:numId w:val="6"/>
        </w:numPr>
        <w:tabs>
          <w:tab w:val="left" w:pos="265"/>
        </w:tabs>
        <w:spacing w:after="0"/>
        <w:jc w:val="both"/>
        <w:rPr>
          <w:rFonts w:ascii="Times New Roman" w:hAnsi="Times New Roman" w:cs="Times New Roman"/>
          <w:i/>
          <w:sz w:val="24"/>
          <w:szCs w:val="24"/>
        </w:rPr>
      </w:pPr>
      <w:r w:rsidRPr="00CF214F">
        <w:rPr>
          <w:rFonts w:ascii="Times New Roman" w:hAnsi="Times New Roman" w:cs="Times New Roman"/>
          <w:i/>
          <w:sz w:val="24"/>
          <w:szCs w:val="24"/>
        </w:rPr>
        <w:lastRenderedPageBreak/>
        <w:t>Návrh nariadenia vytvorenie jednotného mechanizmu dohľadu – Single Supervisory Mechanism, SSM (Council Regulation conferring specific tasks on the ECB concerning policies relating to the prudential  supervision of credit institutions)</w:t>
      </w:r>
    </w:p>
    <w:p w:rsidR="00D4549B" w:rsidRPr="00CF214F" w:rsidRDefault="004E67C4" w:rsidP="00153E76">
      <w:pPr>
        <w:numPr>
          <w:ilvl w:val="0"/>
          <w:numId w:val="6"/>
        </w:numPr>
        <w:spacing w:after="0"/>
        <w:jc w:val="both"/>
        <w:rPr>
          <w:rFonts w:ascii="Times New Roman" w:hAnsi="Times New Roman" w:cs="Times New Roman"/>
          <w:sz w:val="24"/>
          <w:szCs w:val="24"/>
        </w:rPr>
      </w:pPr>
      <w:r w:rsidRPr="00CF214F">
        <w:rPr>
          <w:rFonts w:ascii="Times New Roman" w:hAnsi="Times New Roman" w:cs="Times New Roman"/>
          <w:sz w:val="24"/>
          <w:szCs w:val="24"/>
        </w:rPr>
        <w:t>Novela nariadenia o založení Európskeho orgánu pre bankovníctvo (EBA), ktorou sa zohľadní vytvorenie  jednotného mechanizmu v štruktúrach EBA vrátane hlasovacích modalít,</w:t>
      </w:r>
    </w:p>
    <w:p w:rsidR="004E67C4" w:rsidRPr="00CF214F" w:rsidRDefault="004E67C4" w:rsidP="00153E76">
      <w:pPr>
        <w:numPr>
          <w:ilvl w:val="0"/>
          <w:numId w:val="6"/>
        </w:numPr>
        <w:spacing w:after="0"/>
        <w:jc w:val="both"/>
        <w:rPr>
          <w:rFonts w:ascii="Times New Roman" w:hAnsi="Times New Roman" w:cs="Times New Roman"/>
          <w:sz w:val="24"/>
          <w:szCs w:val="24"/>
        </w:rPr>
      </w:pPr>
      <w:r w:rsidRPr="00CF214F">
        <w:rPr>
          <w:rFonts w:ascii="Times New Roman" w:hAnsi="Times New Roman" w:cs="Times New Roman"/>
          <w:sz w:val="24"/>
          <w:szCs w:val="24"/>
        </w:rPr>
        <w:t>Komunikácia EK: The Roadmap towards a banking Union</w:t>
      </w:r>
    </w:p>
    <w:p w:rsidR="004E67C4" w:rsidRPr="00CF214F" w:rsidRDefault="004E67C4" w:rsidP="00153E76">
      <w:pPr>
        <w:spacing w:after="0"/>
        <w:ind w:left="360"/>
        <w:jc w:val="both"/>
        <w:rPr>
          <w:rStyle w:val="longtext"/>
          <w:rFonts w:ascii="Times New Roman" w:hAnsi="Times New Roman" w:cs="Times New Roman"/>
          <w:sz w:val="24"/>
          <w:szCs w:val="24"/>
        </w:rPr>
      </w:pPr>
    </w:p>
    <w:p w:rsidR="0022153E" w:rsidRPr="00CF214F" w:rsidRDefault="0022153E" w:rsidP="00153E76">
      <w:pPr>
        <w:pStyle w:val="Odsekzoznamu"/>
        <w:numPr>
          <w:ilvl w:val="0"/>
          <w:numId w:val="2"/>
        </w:numPr>
        <w:spacing w:after="0"/>
        <w:jc w:val="both"/>
        <w:rPr>
          <w:rStyle w:val="longtext"/>
          <w:rFonts w:ascii="Times New Roman" w:hAnsi="Times New Roman" w:cs="Times New Roman"/>
          <w:b/>
          <w:sz w:val="24"/>
          <w:szCs w:val="24"/>
        </w:rPr>
      </w:pPr>
      <w:r w:rsidRPr="00CF214F">
        <w:rPr>
          <w:rStyle w:val="longtext"/>
          <w:rFonts w:ascii="Times New Roman" w:hAnsi="Times New Roman" w:cs="Times New Roman"/>
          <w:b/>
          <w:sz w:val="24"/>
          <w:szCs w:val="24"/>
        </w:rPr>
        <w:t xml:space="preserve">Ciele </w:t>
      </w:r>
      <w:r w:rsidR="004E67C4" w:rsidRPr="00CF214F">
        <w:rPr>
          <w:rStyle w:val="longtext"/>
          <w:rFonts w:ascii="Times New Roman" w:hAnsi="Times New Roman" w:cs="Times New Roman"/>
          <w:b/>
          <w:sz w:val="24"/>
          <w:szCs w:val="24"/>
        </w:rPr>
        <w:t>predložených nariadení</w:t>
      </w:r>
      <w:r w:rsidRPr="00CF214F">
        <w:rPr>
          <w:rStyle w:val="longtext"/>
          <w:rFonts w:ascii="Times New Roman" w:hAnsi="Times New Roman" w:cs="Times New Roman"/>
          <w:b/>
          <w:sz w:val="24"/>
          <w:szCs w:val="24"/>
        </w:rPr>
        <w:t>:</w:t>
      </w:r>
    </w:p>
    <w:p w:rsidR="0022153E" w:rsidRPr="00CF214F" w:rsidRDefault="004E67C4" w:rsidP="00153E76">
      <w:pPr>
        <w:spacing w:after="0"/>
        <w:jc w:val="both"/>
        <w:rPr>
          <w:rFonts w:ascii="Times New Roman" w:hAnsi="Times New Roman" w:cs="Times New Roman"/>
          <w:b/>
          <w:sz w:val="24"/>
          <w:szCs w:val="24"/>
        </w:rPr>
      </w:pPr>
      <w:r w:rsidRPr="00CF214F">
        <w:rPr>
          <w:rFonts w:ascii="Times New Roman" w:hAnsi="Times New Roman" w:cs="Times New Roman"/>
          <w:sz w:val="24"/>
          <w:szCs w:val="24"/>
        </w:rPr>
        <w:t xml:space="preserve">Návrh nariadenia o zriadení jednotného bankového dohľadu obsahuje konkrétne kroky súvisiace s prenesením zodpovednosti z národných orgánov dohľadu na ECB. </w:t>
      </w:r>
      <w:r w:rsidRPr="00CF214F">
        <w:rPr>
          <w:rFonts w:ascii="Times New Roman" w:hAnsi="Times New Roman" w:cs="Times New Roman"/>
          <w:color w:val="000000"/>
          <w:sz w:val="24"/>
          <w:szCs w:val="24"/>
        </w:rPr>
        <w:t xml:space="preserve">Návrh zásadne mení základnú filozofiu finančnej stability v EÚ. </w:t>
      </w:r>
      <w:r w:rsidRPr="00CF214F">
        <w:rPr>
          <w:rFonts w:ascii="Times New Roman" w:hAnsi="Times New Roman" w:cs="Times New Roman"/>
          <w:sz w:val="24"/>
          <w:szCs w:val="24"/>
        </w:rPr>
        <w:t>Argumentuje faktom, že finančné inštitúcie sú globálne prepojené a dohľad na národnej úrovni je neefektívny na dohľad nad nadnárodnými finančnými skupinami. Z uvedeného dôvodu sa takmer všetky právomoci v oblasti dohľadu  presúvajú z národných regulátorov na nadnárodnú úroveň – ECB. Národným regulátorom sa navrhuje ponechať iba niektoré menej významné funkcie (</w:t>
      </w:r>
      <w:r w:rsidR="006A7CD2" w:rsidRPr="00CF214F">
        <w:rPr>
          <w:rFonts w:ascii="Times New Roman" w:hAnsi="Times New Roman" w:cs="Times New Roman"/>
          <w:sz w:val="24"/>
          <w:szCs w:val="24"/>
        </w:rPr>
        <w:t xml:space="preserve">ochrana spotrebiteľa, boj proti praniu špinavých peňazí, </w:t>
      </w:r>
      <w:r w:rsidRPr="00CF214F">
        <w:rPr>
          <w:rFonts w:ascii="Times New Roman" w:hAnsi="Times New Roman" w:cs="Times New Roman"/>
          <w:sz w:val="24"/>
          <w:szCs w:val="24"/>
        </w:rPr>
        <w:t>notifikácie, dohľad nad nebankovými subjektmi, dohľad nad pobočkami z tretích krajín, dohľad nad platobnými službami a pod.).</w:t>
      </w:r>
    </w:p>
    <w:p w:rsidR="00CE2440" w:rsidRPr="00CF214F" w:rsidRDefault="00CE2440" w:rsidP="00153E76">
      <w:pPr>
        <w:spacing w:after="0"/>
        <w:jc w:val="both"/>
        <w:rPr>
          <w:rFonts w:ascii="Times New Roman" w:eastAsia="Times New Roman" w:hAnsi="Times New Roman" w:cs="Times New Roman"/>
          <w:b/>
          <w:bCs/>
          <w:sz w:val="24"/>
          <w:szCs w:val="24"/>
          <w:lang w:eastAsia="sk-SK"/>
        </w:rPr>
      </w:pPr>
    </w:p>
    <w:p w:rsidR="002763A4" w:rsidRPr="00CF214F" w:rsidRDefault="002763A4" w:rsidP="00153E76">
      <w:pPr>
        <w:spacing w:after="0"/>
        <w:jc w:val="both"/>
        <w:rPr>
          <w:rFonts w:ascii="Times New Roman" w:eastAsia="Times New Roman" w:hAnsi="Times New Roman" w:cs="Times New Roman"/>
          <w:b/>
          <w:bCs/>
          <w:sz w:val="24"/>
          <w:szCs w:val="24"/>
          <w:lang w:eastAsia="sk-SK"/>
        </w:rPr>
      </w:pPr>
    </w:p>
    <w:p w:rsidR="004E67C4" w:rsidRPr="00CF214F" w:rsidRDefault="004E67C4" w:rsidP="00153E76">
      <w:pPr>
        <w:spacing w:after="0"/>
        <w:jc w:val="both"/>
        <w:rPr>
          <w:rFonts w:ascii="Times New Roman" w:eastAsia="Times New Roman" w:hAnsi="Times New Roman" w:cs="Times New Roman"/>
          <w:b/>
          <w:bCs/>
          <w:sz w:val="24"/>
          <w:szCs w:val="24"/>
          <w:lang w:eastAsia="sk-SK"/>
        </w:rPr>
      </w:pPr>
      <w:r w:rsidRPr="00CF214F">
        <w:rPr>
          <w:rFonts w:ascii="Times New Roman" w:eastAsia="Times New Roman" w:hAnsi="Times New Roman" w:cs="Times New Roman"/>
          <w:b/>
          <w:bCs/>
          <w:sz w:val="24"/>
          <w:szCs w:val="24"/>
          <w:lang w:eastAsia="sk-SK"/>
        </w:rPr>
        <w:t>Popis cieľov vyššie uvedených dokumentov</w:t>
      </w:r>
    </w:p>
    <w:p w:rsidR="004E67C4" w:rsidRPr="00CF214F" w:rsidRDefault="004E67C4" w:rsidP="00153E76">
      <w:pPr>
        <w:spacing w:after="0"/>
        <w:jc w:val="both"/>
        <w:outlineLvl w:val="0"/>
        <w:rPr>
          <w:rFonts w:ascii="Times New Roman" w:hAnsi="Times New Roman" w:cs="Times New Roman"/>
          <w:b/>
          <w:bCs/>
          <w:i/>
          <w:sz w:val="24"/>
          <w:szCs w:val="24"/>
        </w:rPr>
      </w:pPr>
      <w:r w:rsidRPr="00CF214F">
        <w:rPr>
          <w:rFonts w:ascii="Times New Roman" w:hAnsi="Times New Roman" w:cs="Times New Roman"/>
          <w:b/>
          <w:i/>
          <w:sz w:val="24"/>
          <w:szCs w:val="24"/>
        </w:rPr>
        <w:t>Ad1: Návrh nariadenia vytvorenie jednotného mechanizmu dohľadu</w:t>
      </w:r>
    </w:p>
    <w:p w:rsidR="004E67C4" w:rsidRPr="00CF214F" w:rsidRDefault="004E67C4" w:rsidP="00153E76">
      <w:p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Návrh nariadenia obsahuje konkrétne kroky súvisiace s prenesením zodpovednosti z národných orgánov dohľadu na ECB. </w:t>
      </w:r>
      <w:r w:rsidRPr="00CF214F">
        <w:rPr>
          <w:rFonts w:ascii="Times New Roman" w:hAnsi="Times New Roman" w:cs="Times New Roman"/>
          <w:color w:val="000000"/>
          <w:sz w:val="24"/>
          <w:szCs w:val="24"/>
        </w:rPr>
        <w:t xml:space="preserve">Návrh zásadne mení základnú filozofiu finančnej stability v EU. V súčasnosti je dôraz na stabilite národných bankových sektorov a národné orgány majú </w:t>
      </w:r>
      <w:r w:rsidRPr="00CF214F">
        <w:rPr>
          <w:rFonts w:ascii="Times New Roman" w:hAnsi="Times New Roman" w:cs="Times New Roman"/>
          <w:bCs/>
          <w:color w:val="000000"/>
          <w:sz w:val="24"/>
          <w:szCs w:val="24"/>
        </w:rPr>
        <w:t>zodpovednosť</w:t>
      </w:r>
      <w:r w:rsidRPr="00CF214F">
        <w:rPr>
          <w:rFonts w:ascii="Times New Roman" w:hAnsi="Times New Roman" w:cs="Times New Roman"/>
          <w:color w:val="000000"/>
          <w:sz w:val="24"/>
          <w:szCs w:val="24"/>
        </w:rPr>
        <w:t xml:space="preserve"> aj </w:t>
      </w:r>
      <w:r w:rsidRPr="00CF214F">
        <w:rPr>
          <w:rFonts w:ascii="Times New Roman" w:hAnsi="Times New Roman" w:cs="Times New Roman"/>
          <w:bCs/>
          <w:color w:val="000000"/>
          <w:sz w:val="24"/>
          <w:szCs w:val="24"/>
        </w:rPr>
        <w:t>nástroje</w:t>
      </w:r>
      <w:r w:rsidRPr="00CF214F">
        <w:rPr>
          <w:rFonts w:ascii="Times New Roman" w:hAnsi="Times New Roman" w:cs="Times New Roman"/>
          <w:color w:val="000000"/>
          <w:sz w:val="24"/>
          <w:szCs w:val="24"/>
        </w:rPr>
        <w:t xml:space="preserve"> na naplnenie tohto cieľa. </w:t>
      </w:r>
      <w:r w:rsidRPr="00CF214F">
        <w:rPr>
          <w:rFonts w:ascii="Times New Roman" w:hAnsi="Times New Roman" w:cs="Times New Roman"/>
          <w:sz w:val="24"/>
          <w:szCs w:val="24"/>
        </w:rPr>
        <w:t xml:space="preserve">Argumentuje faktom, že finančné inštitúcie sú globálne prepojené a dohľad na národnej úrovni je neefektívny na dohľad nad nadnárodnými finančnými skupinami. Z uvedeného dôvodu sa takmer všetky právomoci v oblasti dohľadu  presúvajú z národných regulátorov na nadnárodnú úroveň – ECB. Národným regulátorom sa navrhuje ponechať iba niektoré menej významné funkcie (notifikácie, dohľad nad nebankovými subjektmi, dohľad nad pobočkami z tretích krajín, dohľad nad platobnými službami a pod.). Vytvára sa taktiež zdrojová základňa pre financovanie systému dohľadu ECB tým, že sa zavádza povinnosť dohliadaných subjektov prispievať na chod systému dohľadu. Systém dohľadu ECB bude riadiť Výkonná rada (Supervisory Board) zložená zo štyroch zástupcov ECB a jedného zástupcu každého členského štátu. </w:t>
      </w:r>
    </w:p>
    <w:p w:rsidR="004E67C4" w:rsidRPr="00CF214F" w:rsidRDefault="004E67C4" w:rsidP="00153E76">
      <w:pPr>
        <w:spacing w:after="0"/>
        <w:jc w:val="both"/>
        <w:outlineLvl w:val="0"/>
        <w:rPr>
          <w:rFonts w:ascii="Times New Roman" w:hAnsi="Times New Roman" w:cs="Times New Roman"/>
          <w:color w:val="000000"/>
          <w:sz w:val="24"/>
          <w:szCs w:val="24"/>
          <w:lang w:eastAsia="sk-SK"/>
        </w:rPr>
      </w:pPr>
      <w:r w:rsidRPr="00CF214F">
        <w:rPr>
          <w:rFonts w:ascii="Times New Roman" w:hAnsi="Times New Roman" w:cs="Times New Roman"/>
          <w:bCs/>
          <w:i/>
          <w:sz w:val="24"/>
          <w:szCs w:val="24"/>
          <w:u w:val="single"/>
        </w:rPr>
        <w:t>Geografické pokrytie</w:t>
      </w:r>
      <w:r w:rsidR="00002AA9" w:rsidRPr="00CF214F">
        <w:rPr>
          <w:rFonts w:ascii="Times New Roman" w:hAnsi="Times New Roman" w:cs="Times New Roman"/>
          <w:bCs/>
          <w:i/>
          <w:sz w:val="24"/>
          <w:szCs w:val="24"/>
          <w:u w:val="single"/>
        </w:rPr>
        <w:t xml:space="preserve"> - </w:t>
      </w:r>
      <w:r w:rsidRPr="00CF214F">
        <w:rPr>
          <w:rFonts w:ascii="Times New Roman" w:hAnsi="Times New Roman" w:cs="Times New Roman"/>
          <w:color w:val="000000"/>
          <w:sz w:val="24"/>
          <w:szCs w:val="24"/>
          <w:lang w:eastAsia="sk-SK"/>
        </w:rPr>
        <w:t>Jednotný mechanizmus dohľadu by sa mal zaviesť v ČŠ eurozóny (17 ČŠ) s tzv. „opt in“ pre ostatné ČŠ, ktoré by však nemali rovnaké právomoci v ECB (právne dôvody, t.j. ECB nemá „jurisdikciu“ mimo eurozóny).</w:t>
      </w:r>
    </w:p>
    <w:p w:rsidR="004E67C4" w:rsidRPr="00CF214F" w:rsidRDefault="004E67C4" w:rsidP="00153E76">
      <w:pPr>
        <w:spacing w:after="0"/>
        <w:jc w:val="both"/>
        <w:rPr>
          <w:rFonts w:ascii="Times New Roman" w:hAnsi="Times New Roman" w:cs="Times New Roman"/>
          <w:color w:val="000000"/>
          <w:sz w:val="24"/>
          <w:szCs w:val="24"/>
          <w:lang w:eastAsia="sk-SK"/>
        </w:rPr>
      </w:pPr>
      <w:r w:rsidRPr="00CF214F">
        <w:rPr>
          <w:rFonts w:ascii="Times New Roman" w:hAnsi="Times New Roman" w:cs="Times New Roman"/>
          <w:bCs/>
          <w:i/>
          <w:color w:val="000000"/>
          <w:sz w:val="24"/>
          <w:szCs w:val="24"/>
          <w:u w:val="single"/>
          <w:lang w:eastAsia="sk-SK"/>
        </w:rPr>
        <w:t>Inštitucionálne pokrytie</w:t>
      </w:r>
      <w:r w:rsidR="00002AA9" w:rsidRPr="00CF214F">
        <w:rPr>
          <w:rFonts w:ascii="Times New Roman" w:hAnsi="Times New Roman" w:cs="Times New Roman"/>
          <w:bCs/>
          <w:i/>
          <w:color w:val="000000"/>
          <w:sz w:val="24"/>
          <w:szCs w:val="24"/>
          <w:u w:val="single"/>
          <w:lang w:eastAsia="sk-SK"/>
        </w:rPr>
        <w:t xml:space="preserve"> - </w:t>
      </w:r>
      <w:r w:rsidRPr="00CF214F">
        <w:rPr>
          <w:rFonts w:ascii="Times New Roman" w:hAnsi="Times New Roman" w:cs="Times New Roman"/>
          <w:color w:val="000000"/>
          <w:sz w:val="24"/>
          <w:szCs w:val="24"/>
          <w:lang w:eastAsia="sk-SK"/>
        </w:rPr>
        <w:t>ECB by mala dohliadať všetky banky. Navrhuje sa prechodné obdobie, v rámci ktorého by v prvej fáze by boli pod dohľadom ECB tie banky, ktoré dostali pomoc z verejných financií a európske systémovo významné banky a následne, od 1. január 2014, všetky banky.</w:t>
      </w:r>
    </w:p>
    <w:p w:rsidR="004E67C4" w:rsidRPr="00CF214F" w:rsidRDefault="004E67C4" w:rsidP="00153E76">
      <w:pPr>
        <w:spacing w:after="0"/>
        <w:jc w:val="both"/>
        <w:rPr>
          <w:rFonts w:ascii="Times New Roman" w:hAnsi="Times New Roman" w:cs="Times New Roman"/>
          <w:color w:val="000000"/>
          <w:sz w:val="24"/>
          <w:szCs w:val="24"/>
          <w:lang w:eastAsia="sk-SK"/>
        </w:rPr>
      </w:pPr>
      <w:r w:rsidRPr="00CF214F">
        <w:rPr>
          <w:rFonts w:ascii="Times New Roman" w:hAnsi="Times New Roman" w:cs="Times New Roman"/>
          <w:bCs/>
          <w:i/>
          <w:color w:val="000000"/>
          <w:sz w:val="24"/>
          <w:szCs w:val="24"/>
          <w:u w:val="single"/>
          <w:lang w:eastAsia="sk-SK"/>
        </w:rPr>
        <w:t>Kompetencie – finančný dohľad</w:t>
      </w:r>
      <w:r w:rsidR="00002AA9" w:rsidRPr="00CF214F">
        <w:rPr>
          <w:rFonts w:ascii="Times New Roman" w:hAnsi="Times New Roman" w:cs="Times New Roman"/>
          <w:bCs/>
          <w:i/>
          <w:color w:val="000000"/>
          <w:sz w:val="24"/>
          <w:szCs w:val="24"/>
          <w:u w:val="single"/>
          <w:lang w:eastAsia="sk-SK"/>
        </w:rPr>
        <w:t xml:space="preserve"> - </w:t>
      </w:r>
      <w:r w:rsidRPr="00CF214F">
        <w:rPr>
          <w:rFonts w:ascii="Times New Roman" w:hAnsi="Times New Roman" w:cs="Times New Roman"/>
          <w:color w:val="000000"/>
          <w:sz w:val="24"/>
          <w:szCs w:val="24"/>
          <w:lang w:eastAsia="sk-SK"/>
        </w:rPr>
        <w:t xml:space="preserve">Z národných orgánov dohľadu by mali byť prenesené všetky významné kompetencie v oblasti finančného dohľadu na ECB vrátane makroprudenciálnej politiky. Následne bude však zrejme delegovaný praktický výkon dohľadu späť na národné orgány dohľadu, t.j. napríklad tzv. „day to day </w:t>
      </w:r>
      <w:r w:rsidRPr="00CF214F">
        <w:rPr>
          <w:rFonts w:ascii="Times New Roman" w:hAnsi="Times New Roman" w:cs="Times New Roman"/>
          <w:color w:val="000000"/>
          <w:sz w:val="24"/>
          <w:szCs w:val="24"/>
          <w:lang w:val="en-US" w:eastAsia="sk-SK"/>
        </w:rPr>
        <w:t>verifications</w:t>
      </w:r>
      <w:r w:rsidRPr="00CF214F">
        <w:rPr>
          <w:rFonts w:ascii="Times New Roman" w:hAnsi="Times New Roman" w:cs="Times New Roman"/>
          <w:color w:val="000000"/>
          <w:sz w:val="24"/>
          <w:szCs w:val="24"/>
          <w:lang w:eastAsia="sk-SK"/>
        </w:rPr>
        <w:t>“ by ostal na národnej úrovni.</w:t>
      </w:r>
    </w:p>
    <w:p w:rsidR="004E67C4" w:rsidRPr="00CF214F" w:rsidRDefault="004E67C4" w:rsidP="00153E76">
      <w:pPr>
        <w:spacing w:after="0"/>
        <w:jc w:val="both"/>
        <w:rPr>
          <w:rFonts w:ascii="Times New Roman" w:hAnsi="Times New Roman" w:cs="Times New Roman"/>
          <w:color w:val="000000"/>
          <w:sz w:val="24"/>
          <w:szCs w:val="24"/>
          <w:lang w:eastAsia="sk-SK"/>
        </w:rPr>
      </w:pPr>
      <w:r w:rsidRPr="00CF214F">
        <w:rPr>
          <w:rFonts w:ascii="Times New Roman" w:hAnsi="Times New Roman" w:cs="Times New Roman"/>
          <w:i/>
          <w:sz w:val="24"/>
          <w:szCs w:val="24"/>
          <w:u w:val="single"/>
        </w:rPr>
        <w:t>Systém správy a riadenia ECB</w:t>
      </w:r>
      <w:r w:rsidR="00002AA9" w:rsidRPr="00CF214F">
        <w:rPr>
          <w:rFonts w:ascii="Times New Roman" w:hAnsi="Times New Roman" w:cs="Times New Roman"/>
          <w:i/>
          <w:sz w:val="24"/>
          <w:szCs w:val="24"/>
          <w:u w:val="single"/>
        </w:rPr>
        <w:t xml:space="preserve"> - </w:t>
      </w:r>
      <w:r w:rsidRPr="00CF214F">
        <w:rPr>
          <w:rFonts w:ascii="Times New Roman" w:hAnsi="Times New Roman" w:cs="Times New Roman"/>
          <w:color w:val="000000"/>
          <w:sz w:val="24"/>
          <w:szCs w:val="24"/>
          <w:lang w:eastAsia="sk-SK"/>
        </w:rPr>
        <w:t>V rámci ECB sa má vytvoriť nový rozhodovací orgán  pre dohľad pod Radou guvernérov ECB s tým, že by tam mali byť zastúpené aj národné orgány dohľadu. Dôvodom je okrem iného snaha zabrániť možnému konfliktu záujmu medzi monetárnou a dohliadacou funkciou ECB.</w:t>
      </w:r>
    </w:p>
    <w:p w:rsidR="00002AA9" w:rsidRPr="00CF214F" w:rsidRDefault="00002AA9" w:rsidP="00153E76">
      <w:pPr>
        <w:spacing w:after="0"/>
        <w:jc w:val="both"/>
        <w:rPr>
          <w:rFonts w:ascii="Times New Roman" w:hAnsi="Times New Roman" w:cs="Times New Roman"/>
          <w:color w:val="000000"/>
          <w:sz w:val="24"/>
          <w:szCs w:val="24"/>
          <w:lang w:eastAsia="sk-SK"/>
        </w:rPr>
      </w:pPr>
    </w:p>
    <w:p w:rsidR="004E67C4" w:rsidRPr="00CF214F" w:rsidRDefault="004E67C4" w:rsidP="00153E76">
      <w:pPr>
        <w:spacing w:after="0"/>
        <w:jc w:val="both"/>
        <w:rPr>
          <w:rFonts w:ascii="Times New Roman" w:hAnsi="Times New Roman" w:cs="Times New Roman"/>
          <w:b/>
          <w:i/>
          <w:color w:val="000000"/>
          <w:sz w:val="24"/>
          <w:szCs w:val="24"/>
          <w:lang w:eastAsia="sk-SK"/>
        </w:rPr>
      </w:pPr>
      <w:r w:rsidRPr="00CF214F">
        <w:rPr>
          <w:rFonts w:ascii="Times New Roman" w:hAnsi="Times New Roman" w:cs="Times New Roman"/>
          <w:b/>
          <w:i/>
          <w:color w:val="000000"/>
          <w:sz w:val="24"/>
          <w:szCs w:val="24"/>
          <w:lang w:eastAsia="sk-SK"/>
        </w:rPr>
        <w:t>Ad2 Novela nariadenia o založení EBA</w:t>
      </w:r>
    </w:p>
    <w:p w:rsidR="004E67C4" w:rsidRPr="00CF214F" w:rsidRDefault="004E67C4" w:rsidP="00153E76">
      <w:p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Návrh na úpravu nariadenia o zriadení EBA vychádza zo zriadenia SSM. Aby bol SSM efektívny, je potrebné upraviť fungovanie EBA a najmä systém prijímania rozhodnutí v EBA. Doposiaľ EBA rozhodovala jednoduchou väčšinou v niektorých oblastiach s cieľom zobrať do úvahy pozície čo najväčšieho počtu krajín. Aby však bol systém rozhodovania efektívny, navrhuje sa vytvorenie nezávislého panelu. Jeho zavedením sa má zabezpečiť, aby ČK eurozóny nemali blokujúcu menšinu v prípade, ak by sa ich rozhodnutie EBA priamo týkalo. Návrh taktiež dáva EBA väčšie právomoci vo vzťahu k ECB. </w:t>
      </w:r>
    </w:p>
    <w:p w:rsidR="004E67C4" w:rsidRPr="00CF214F" w:rsidRDefault="004E67C4" w:rsidP="00153E76">
      <w:pPr>
        <w:spacing w:after="0"/>
        <w:jc w:val="both"/>
        <w:rPr>
          <w:rFonts w:ascii="Times New Roman" w:hAnsi="Times New Roman" w:cs="Times New Roman"/>
          <w:b/>
          <w:i/>
          <w:color w:val="000000"/>
          <w:sz w:val="24"/>
          <w:szCs w:val="24"/>
          <w:lang w:eastAsia="sk-SK"/>
        </w:rPr>
      </w:pPr>
    </w:p>
    <w:p w:rsidR="004E67C4" w:rsidRPr="00CF214F" w:rsidRDefault="004E67C4" w:rsidP="00153E76">
      <w:pPr>
        <w:spacing w:after="0"/>
        <w:jc w:val="both"/>
        <w:rPr>
          <w:rFonts w:ascii="Times New Roman" w:hAnsi="Times New Roman" w:cs="Times New Roman"/>
          <w:b/>
          <w:i/>
          <w:color w:val="000000"/>
          <w:sz w:val="24"/>
          <w:szCs w:val="24"/>
          <w:lang w:eastAsia="sk-SK"/>
        </w:rPr>
      </w:pPr>
      <w:r w:rsidRPr="00CF214F">
        <w:rPr>
          <w:rFonts w:ascii="Times New Roman" w:hAnsi="Times New Roman" w:cs="Times New Roman"/>
          <w:b/>
          <w:i/>
          <w:color w:val="000000"/>
          <w:sz w:val="24"/>
          <w:szCs w:val="24"/>
          <w:lang w:eastAsia="sk-SK"/>
        </w:rPr>
        <w:t>Ad3 Roadmap towards a Banking Union</w:t>
      </w:r>
    </w:p>
    <w:p w:rsidR="004E67C4" w:rsidRPr="00CF214F" w:rsidRDefault="004E67C4" w:rsidP="00153E76">
      <w:pPr>
        <w:spacing w:after="0"/>
        <w:jc w:val="both"/>
        <w:rPr>
          <w:rFonts w:ascii="Times New Roman" w:hAnsi="Times New Roman" w:cs="Times New Roman"/>
          <w:b/>
          <w:i/>
          <w:color w:val="000000"/>
          <w:sz w:val="24"/>
          <w:szCs w:val="24"/>
          <w:lang w:eastAsia="sk-SK"/>
        </w:rPr>
      </w:pPr>
      <w:r w:rsidRPr="00CF214F">
        <w:rPr>
          <w:rFonts w:ascii="Times New Roman" w:hAnsi="Times New Roman" w:cs="Times New Roman"/>
          <w:sz w:val="24"/>
          <w:szCs w:val="24"/>
        </w:rPr>
        <w:t xml:space="preserve">Komunikácia dopĺňa horeuvedené dva návrhy nariadení a podčiarkuje, že vytvorenie SSM je len prvým krokom k vytvoreniu bankovej únie. Poukazuje na ďalšie dôležité piliere: jednotný rámec financovania rezolúcie (krízový manažment), jednotný rámec garancie vkladov (Deposit Guarantee Schemes -DGS) a finalizácia prudenciálnych požiadaviek na úverové inštitúcie (CRD4).  </w:t>
      </w:r>
    </w:p>
    <w:p w:rsidR="004E67C4" w:rsidRPr="00CF214F" w:rsidRDefault="004E67C4" w:rsidP="00153E76">
      <w:pPr>
        <w:spacing w:after="0"/>
        <w:jc w:val="both"/>
        <w:rPr>
          <w:rFonts w:ascii="Times New Roman" w:hAnsi="Times New Roman" w:cs="Times New Roman"/>
          <w:b/>
          <w:color w:val="000000"/>
          <w:sz w:val="24"/>
          <w:szCs w:val="24"/>
          <w:lang w:eastAsia="sk-SK"/>
        </w:rPr>
      </w:pPr>
    </w:p>
    <w:p w:rsidR="0022153E" w:rsidRPr="00CF214F" w:rsidRDefault="004E67C4" w:rsidP="00153E76">
      <w:pPr>
        <w:spacing w:after="0"/>
        <w:jc w:val="both"/>
        <w:rPr>
          <w:rFonts w:ascii="Times New Roman" w:hAnsi="Times New Roman" w:cs="Times New Roman"/>
          <w:color w:val="000000"/>
          <w:sz w:val="24"/>
          <w:szCs w:val="24"/>
          <w:lang w:eastAsia="sk-SK"/>
        </w:rPr>
      </w:pPr>
      <w:r w:rsidRPr="00CF214F">
        <w:rPr>
          <w:rFonts w:ascii="Times New Roman" w:hAnsi="Times New Roman" w:cs="Times New Roman"/>
          <w:color w:val="000000"/>
          <w:sz w:val="24"/>
          <w:szCs w:val="24"/>
          <w:lang w:eastAsia="sk-SK"/>
        </w:rPr>
        <w:t>Po schválení týchto návrhov má EK  zámer predstaviť návrh na vytvorenie európskeho orgánu, ktorý by koordinoval (resp. mal na starosti) ozdravenie a riadenú likvidáciu úverových inštitúcií na európskej úrovni (eurozóny). Dôležitým prvkom bankovej únie je aj zavedenie rovnakých požiadaviek v EÚ v oblasti obozretného podnikania bánk. Z uvedeného dôvodu odporúča COM schváliť aj smernicu o kapitálových požiadavkách pre banky CRD IV do konca roku 2012.</w:t>
      </w:r>
    </w:p>
    <w:p w:rsidR="004E67C4" w:rsidRPr="00CF214F" w:rsidRDefault="004E67C4" w:rsidP="00153E76">
      <w:pPr>
        <w:spacing w:after="0"/>
        <w:jc w:val="both"/>
        <w:rPr>
          <w:rFonts w:ascii="Times New Roman" w:hAnsi="Times New Roman" w:cs="Times New Roman"/>
          <w:color w:val="000000"/>
          <w:sz w:val="24"/>
          <w:szCs w:val="24"/>
          <w:lang w:eastAsia="sk-SK"/>
        </w:rPr>
      </w:pPr>
    </w:p>
    <w:p w:rsidR="00947AEA" w:rsidRPr="00CF214F" w:rsidRDefault="00947AEA" w:rsidP="00153E76">
      <w:pPr>
        <w:pStyle w:val="Odsekzoznamu"/>
        <w:numPr>
          <w:ilvl w:val="0"/>
          <w:numId w:val="2"/>
        </w:numPr>
        <w:spacing w:after="0"/>
        <w:jc w:val="both"/>
        <w:rPr>
          <w:rFonts w:ascii="Times New Roman" w:hAnsi="Times New Roman" w:cs="Times New Roman"/>
          <w:b/>
          <w:sz w:val="24"/>
          <w:szCs w:val="24"/>
        </w:rPr>
      </w:pPr>
      <w:r w:rsidRPr="00CF214F">
        <w:rPr>
          <w:rFonts w:ascii="Times New Roman" w:hAnsi="Times New Roman" w:cs="Times New Roman"/>
          <w:b/>
          <w:sz w:val="24"/>
          <w:szCs w:val="24"/>
        </w:rPr>
        <w:t>Analýza návrhu jednotného mechanizmu dohľadu</w:t>
      </w:r>
    </w:p>
    <w:p w:rsidR="00947AEA" w:rsidRPr="00CF214F" w:rsidRDefault="00947AEA" w:rsidP="00153E76">
      <w:pPr>
        <w:pStyle w:val="Odsekzoznamu"/>
        <w:numPr>
          <w:ilvl w:val="0"/>
          <w:numId w:val="13"/>
        </w:numPr>
        <w:spacing w:after="0"/>
        <w:jc w:val="both"/>
        <w:rPr>
          <w:rFonts w:ascii="Times New Roman" w:hAnsi="Times New Roman" w:cs="Times New Roman"/>
          <w:sz w:val="24"/>
          <w:szCs w:val="24"/>
        </w:rPr>
      </w:pPr>
      <w:r w:rsidRPr="00CF214F">
        <w:rPr>
          <w:rFonts w:ascii="Times New Roman" w:hAnsi="Times New Roman" w:cs="Times New Roman"/>
          <w:sz w:val="24"/>
          <w:szCs w:val="24"/>
        </w:rPr>
        <w:t>Návrhom sa v podstate odnímajú dohľadu v SR všetky právomoci a možnosti samostatne ovplyvňovať chod našich bánk. Na ECB prechádza bankový dohľad na mikro (dohľad na mieste, dohľad na diaľku, udeľovanie povolení na výkon bankových činností, predchádzajúce súhlasy okrem „fit and proper“, vydávanie rozhodnutí) aj makro úrovni.</w:t>
      </w:r>
    </w:p>
    <w:p w:rsidR="00947AEA" w:rsidRPr="00CF214F" w:rsidRDefault="00947AEA" w:rsidP="00153E76">
      <w:pPr>
        <w:pStyle w:val="Odsekzoznamu"/>
        <w:numPr>
          <w:ilvl w:val="0"/>
          <w:numId w:val="13"/>
        </w:numPr>
        <w:spacing w:after="0"/>
        <w:jc w:val="both"/>
        <w:rPr>
          <w:rFonts w:ascii="Times New Roman" w:hAnsi="Times New Roman" w:cs="Times New Roman"/>
          <w:sz w:val="24"/>
          <w:szCs w:val="24"/>
        </w:rPr>
      </w:pPr>
      <w:r w:rsidRPr="00CF214F">
        <w:rPr>
          <w:rFonts w:ascii="Times New Roman" w:hAnsi="Times New Roman" w:cs="Times New Roman"/>
          <w:sz w:val="24"/>
          <w:szCs w:val="24"/>
        </w:rPr>
        <w:t>NBS zostáva len právo podieľať sa na vytváraní bankovej regulácie prostredníctvom EBA (po koordinácii s ECB) a implementovanie EBA usmernení a odporúčaní.</w:t>
      </w:r>
    </w:p>
    <w:p w:rsidR="00947AEA" w:rsidRPr="00CF214F" w:rsidRDefault="00947AEA" w:rsidP="00153E76">
      <w:pPr>
        <w:pStyle w:val="Odsekzoznamu"/>
        <w:numPr>
          <w:ilvl w:val="0"/>
          <w:numId w:val="13"/>
        </w:numPr>
        <w:spacing w:after="0"/>
        <w:jc w:val="both"/>
        <w:rPr>
          <w:rFonts w:ascii="Times New Roman" w:hAnsi="Times New Roman" w:cs="Times New Roman"/>
          <w:color w:val="000000"/>
          <w:sz w:val="24"/>
          <w:szCs w:val="24"/>
        </w:rPr>
      </w:pPr>
      <w:r w:rsidRPr="00CF214F">
        <w:rPr>
          <w:rFonts w:ascii="Times New Roman" w:hAnsi="Times New Roman" w:cs="Times New Roman"/>
          <w:sz w:val="24"/>
          <w:szCs w:val="24"/>
        </w:rPr>
        <w:t>Rozsah bánk, ktorý bude spadať pod ECB sa bude postupne rozširovať, nasledovným spôsobom</w:t>
      </w:r>
    </w:p>
    <w:p w:rsidR="00947AEA" w:rsidRPr="00CF214F" w:rsidRDefault="00947AEA" w:rsidP="00153E76">
      <w:pPr>
        <w:numPr>
          <w:ilvl w:val="1"/>
          <w:numId w:val="13"/>
        </w:num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prvým krokom ECB je zameranie sa na banky, ktoré potrebujú verejnú stabilizačnú pomoc (s uplatňovaním od 1.1.2013), </w:t>
      </w:r>
    </w:p>
    <w:p w:rsidR="00947AEA" w:rsidRPr="00CF214F" w:rsidRDefault="00947AEA" w:rsidP="00153E76">
      <w:pPr>
        <w:numPr>
          <w:ilvl w:val="1"/>
          <w:numId w:val="13"/>
        </w:num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druhým krokom je sústredenie sa na európske systémovo významné banky (s uplatňovaním od 1.7. 2013). </w:t>
      </w:r>
    </w:p>
    <w:p w:rsidR="00947AEA" w:rsidRPr="00CF214F" w:rsidRDefault="00947AEA" w:rsidP="00153E76">
      <w:pPr>
        <w:numPr>
          <w:ilvl w:val="1"/>
          <w:numId w:val="13"/>
        </w:numPr>
        <w:spacing w:after="0"/>
        <w:jc w:val="both"/>
        <w:rPr>
          <w:rFonts w:ascii="Times New Roman" w:hAnsi="Times New Roman" w:cs="Times New Roman"/>
          <w:sz w:val="24"/>
          <w:szCs w:val="24"/>
        </w:rPr>
      </w:pPr>
      <w:r w:rsidRPr="00CF214F">
        <w:rPr>
          <w:rFonts w:ascii="Times New Roman" w:hAnsi="Times New Roman" w:cs="Times New Roman"/>
          <w:sz w:val="24"/>
          <w:szCs w:val="24"/>
        </w:rPr>
        <w:t> tretím krokom bude zahrnutie všetkých bánk pod dohľad ECB (od 1. 1. 2014)</w:t>
      </w:r>
    </w:p>
    <w:p w:rsidR="00947AEA" w:rsidRPr="00CF214F" w:rsidRDefault="00947AEA" w:rsidP="00153E76">
      <w:pPr>
        <w:numPr>
          <w:ilvl w:val="0"/>
          <w:numId w:val="13"/>
        </w:numPr>
        <w:spacing w:after="0"/>
        <w:jc w:val="both"/>
        <w:rPr>
          <w:rFonts w:ascii="Times New Roman" w:hAnsi="Times New Roman" w:cs="Times New Roman"/>
          <w:sz w:val="24"/>
          <w:szCs w:val="24"/>
        </w:rPr>
      </w:pPr>
      <w:r w:rsidRPr="00CF214F">
        <w:rPr>
          <w:rFonts w:ascii="Times New Roman" w:hAnsi="Times New Roman" w:cs="Times New Roman"/>
          <w:sz w:val="24"/>
          <w:szCs w:val="24"/>
        </w:rPr>
        <w:t>Na úrovni ECB sa vytvorí nový orgán - Supervisory board. Orgán bude  pozostávať zo 4 predstaviteľov ECB menovaných výkonným orgánom ECB a z jedného predstaviteľa z každého národného orgánu, ktorý je zodpovedný za výkon dohľadu nad bankami.</w:t>
      </w:r>
    </w:p>
    <w:p w:rsidR="00947AEA" w:rsidRPr="00CF214F" w:rsidRDefault="00947AEA" w:rsidP="00153E76">
      <w:pPr>
        <w:pStyle w:val="Odsekzoznamu"/>
        <w:numPr>
          <w:ilvl w:val="0"/>
          <w:numId w:val="13"/>
        </w:numPr>
        <w:spacing w:after="0"/>
        <w:jc w:val="both"/>
        <w:rPr>
          <w:rFonts w:ascii="Times New Roman" w:hAnsi="Times New Roman" w:cs="Times New Roman"/>
          <w:sz w:val="24"/>
          <w:szCs w:val="24"/>
        </w:rPr>
      </w:pPr>
      <w:r w:rsidRPr="00CF214F">
        <w:rPr>
          <w:rFonts w:ascii="Times New Roman" w:hAnsi="Times New Roman" w:cs="Times New Roman"/>
          <w:sz w:val="24"/>
          <w:szCs w:val="24"/>
        </w:rPr>
        <w:t>ECB má byť financovaná priamo bankami, na národnej úrovni by sa mali poplatky a príspevky primerane znížiť.</w:t>
      </w:r>
    </w:p>
    <w:p w:rsidR="004E67C4" w:rsidRPr="00CF214F" w:rsidRDefault="004E67C4" w:rsidP="00153E76">
      <w:pPr>
        <w:spacing w:after="0"/>
        <w:jc w:val="both"/>
        <w:rPr>
          <w:rFonts w:ascii="Times New Roman" w:hAnsi="Times New Roman" w:cs="Times New Roman"/>
          <w:sz w:val="24"/>
          <w:szCs w:val="24"/>
        </w:rPr>
      </w:pPr>
    </w:p>
    <w:p w:rsidR="00951A0D" w:rsidRPr="00CF214F" w:rsidRDefault="00881E65" w:rsidP="00153E76">
      <w:pPr>
        <w:pStyle w:val="Odsekzoznamu"/>
        <w:numPr>
          <w:ilvl w:val="0"/>
          <w:numId w:val="2"/>
        </w:numPr>
        <w:spacing w:after="0"/>
        <w:jc w:val="both"/>
        <w:rPr>
          <w:rFonts w:ascii="Times New Roman" w:hAnsi="Times New Roman" w:cs="Times New Roman"/>
          <w:b/>
          <w:sz w:val="24"/>
          <w:szCs w:val="24"/>
        </w:rPr>
      </w:pPr>
      <w:r w:rsidRPr="00CF214F">
        <w:rPr>
          <w:rFonts w:ascii="Times New Roman" w:hAnsi="Times New Roman" w:cs="Times New Roman"/>
          <w:b/>
          <w:sz w:val="24"/>
          <w:szCs w:val="24"/>
        </w:rPr>
        <w:t xml:space="preserve">Problematické miesta </w:t>
      </w:r>
      <w:r w:rsidR="00F727C4" w:rsidRPr="00CF214F">
        <w:rPr>
          <w:rFonts w:ascii="Times New Roman" w:hAnsi="Times New Roman" w:cs="Times New Roman"/>
          <w:b/>
          <w:sz w:val="24"/>
          <w:szCs w:val="24"/>
        </w:rPr>
        <w:t xml:space="preserve">a riziká </w:t>
      </w:r>
      <w:r w:rsidR="004E67C4" w:rsidRPr="00CF214F">
        <w:rPr>
          <w:rFonts w:ascii="Times New Roman" w:hAnsi="Times New Roman" w:cs="Times New Roman"/>
          <w:b/>
          <w:sz w:val="24"/>
          <w:szCs w:val="24"/>
        </w:rPr>
        <w:t>predložených legislatívnych návrhov spojených s vytvorením bankovej únie</w:t>
      </w:r>
    </w:p>
    <w:p w:rsidR="004E67C4" w:rsidRPr="00CF214F" w:rsidRDefault="004E67C4" w:rsidP="00153E76">
      <w:p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Z pohľadu SR predstavujú všetky spomenuté okruhy legislatívnych zmien citlivé témy. Ide predovšetkým o zmenu spôsobu regulácie finančného sektora, konkrétne o jeho zmenu zo systému založeného na kľúčovej úlohe domácich orgánov dohľadu na  skupinovú úroveň. Logickým dôsledkom prijatia spomínaných opatrení je postupný presun kompetencií národných orgánov dohľadu na nadnárodnú (európsku) úroveň. Pre SR  je otázka home-host prístupu obzvlášť citlivá, keďže dcérske spoločnosti bánk so sídlom v EÚ predstavujú približne 95% slovenského bankového sektora.. </w:t>
      </w:r>
    </w:p>
    <w:p w:rsidR="00F727C4" w:rsidRPr="00CF214F" w:rsidRDefault="00F727C4" w:rsidP="00153E76">
      <w:pPr>
        <w:spacing w:after="0"/>
        <w:jc w:val="both"/>
        <w:rPr>
          <w:rFonts w:ascii="Times New Roman" w:hAnsi="Times New Roman" w:cs="Times New Roman"/>
          <w:sz w:val="24"/>
          <w:szCs w:val="24"/>
        </w:rPr>
      </w:pPr>
    </w:p>
    <w:p w:rsidR="00F727C4" w:rsidRPr="00CF214F" w:rsidRDefault="00F727C4" w:rsidP="00153E76">
      <w:p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Potenciálne riziká </w:t>
      </w:r>
      <w:r w:rsidR="00947AEA" w:rsidRPr="00CF214F">
        <w:rPr>
          <w:rFonts w:ascii="Times New Roman" w:hAnsi="Times New Roman" w:cs="Times New Roman"/>
          <w:sz w:val="24"/>
          <w:szCs w:val="24"/>
        </w:rPr>
        <w:t xml:space="preserve">vyplývajúce </w:t>
      </w:r>
      <w:r w:rsidRPr="00CF214F">
        <w:rPr>
          <w:rFonts w:ascii="Times New Roman" w:hAnsi="Times New Roman" w:cs="Times New Roman"/>
          <w:sz w:val="24"/>
          <w:szCs w:val="24"/>
        </w:rPr>
        <w:t>pre SR</w:t>
      </w:r>
      <w:r w:rsidR="00947AEA" w:rsidRPr="00CF214F">
        <w:rPr>
          <w:rFonts w:ascii="Times New Roman" w:hAnsi="Times New Roman" w:cs="Times New Roman"/>
          <w:sz w:val="24"/>
          <w:szCs w:val="24"/>
        </w:rPr>
        <w:t xml:space="preserve"> z predložených návrhov</w:t>
      </w:r>
      <w:r w:rsidRPr="00CF214F">
        <w:rPr>
          <w:rFonts w:ascii="Times New Roman" w:hAnsi="Times New Roman" w:cs="Times New Roman"/>
          <w:sz w:val="24"/>
          <w:szCs w:val="24"/>
        </w:rPr>
        <w:t>:</w:t>
      </w:r>
    </w:p>
    <w:p w:rsidR="00F727C4" w:rsidRPr="00CF214F" w:rsidRDefault="00F727C4" w:rsidP="00153E76">
      <w:pPr>
        <w:pStyle w:val="Odsekzoznamu"/>
        <w:numPr>
          <w:ilvl w:val="0"/>
          <w:numId w:val="14"/>
        </w:numPr>
        <w:spacing w:after="0"/>
        <w:jc w:val="both"/>
        <w:rPr>
          <w:rFonts w:ascii="Times New Roman" w:hAnsi="Times New Roman" w:cs="Times New Roman"/>
          <w:sz w:val="24"/>
          <w:szCs w:val="24"/>
        </w:rPr>
      </w:pPr>
      <w:r w:rsidRPr="00CF214F">
        <w:rPr>
          <w:rFonts w:ascii="Times New Roman" w:hAnsi="Times New Roman" w:cs="Times New Roman"/>
          <w:sz w:val="24"/>
          <w:szCs w:val="24"/>
        </w:rPr>
        <w:t>Potenciálne fiškálne náklady pre SR – na ECB sa prenášajú dohľadové právomoci, zodpovednosť ale zostáva na národnej úrovni (DGS, osobitný odvod finančných inštitúcií)</w:t>
      </w:r>
    </w:p>
    <w:p w:rsidR="00F727C4" w:rsidRPr="00CF214F" w:rsidRDefault="00F727C4" w:rsidP="00153E76">
      <w:pPr>
        <w:pStyle w:val="Odsekzoznamu"/>
        <w:numPr>
          <w:ilvl w:val="0"/>
          <w:numId w:val="14"/>
        </w:numPr>
        <w:spacing w:after="0"/>
        <w:jc w:val="both"/>
        <w:rPr>
          <w:rFonts w:ascii="Times New Roman" w:hAnsi="Times New Roman" w:cs="Times New Roman"/>
          <w:sz w:val="24"/>
          <w:szCs w:val="24"/>
        </w:rPr>
      </w:pPr>
      <w:r w:rsidRPr="00CF214F">
        <w:rPr>
          <w:rFonts w:ascii="Times New Roman" w:hAnsi="Times New Roman" w:cs="Times New Roman"/>
          <w:sz w:val="24"/>
          <w:szCs w:val="24"/>
        </w:rPr>
        <w:t>stabilita najväčších bankových skupín bude nadradená finančnej stabilite členského štátu. Vzniká výrazne asymetrická situácia, keď ECB bude primárne zameraná na veľké bankové skupiny, pričom fiškálnu zodpovednosť budú mať stále národné členské štáty a to navyše bez možnosti disponovať nástrojmi potrebnými na naplnenie tejto zodpovednosti. (Žiadna z bánk pôsobiacich na Slovensku nie je z pohľadu finančnej stability eurozóny dostatočne významná na to, aby jej bola venovaná adekvátna pozornosť zo strany ECB.) ECB nebude vyhodnocovať vplyv svojich rozhodnutí na ekonomiku SR (odchod banky zo slovenského trhu zníži úverové možnosti pre banky a domácnosti) a rozpočet SR (obetovanie slovenskej dcéry na záchranu bankovej skupiny zaťaží slovenský fond ochrany vkladov -&gt; SR bude financovať cudzie straty bánk)</w:t>
      </w:r>
    </w:p>
    <w:p w:rsidR="00F727C4" w:rsidRPr="00CF214F" w:rsidRDefault="00F727C4" w:rsidP="00153E76">
      <w:pPr>
        <w:pStyle w:val="Odsekzoznamu"/>
        <w:numPr>
          <w:ilvl w:val="0"/>
          <w:numId w:val="14"/>
        </w:numPr>
        <w:spacing w:after="0"/>
        <w:jc w:val="both"/>
        <w:rPr>
          <w:rFonts w:ascii="Times New Roman" w:hAnsi="Times New Roman" w:cs="Times New Roman"/>
          <w:sz w:val="24"/>
          <w:szCs w:val="24"/>
        </w:rPr>
      </w:pPr>
      <w:r w:rsidRPr="00CF214F">
        <w:rPr>
          <w:rFonts w:ascii="Times New Roman" w:hAnsi="Times New Roman" w:cs="Times New Roman"/>
          <w:sz w:val="24"/>
          <w:szCs w:val="24"/>
        </w:rPr>
        <w:t>nie je jasne upravený rozhodovací proces na úrovni supervisory board, nie je jasný hlasovací mechanizmus</w:t>
      </w:r>
    </w:p>
    <w:p w:rsidR="00F727C4" w:rsidRPr="00CF214F" w:rsidRDefault="00F727C4" w:rsidP="00153E76">
      <w:pPr>
        <w:pStyle w:val="Odsekzoznamu"/>
        <w:numPr>
          <w:ilvl w:val="0"/>
          <w:numId w:val="14"/>
        </w:numPr>
        <w:spacing w:after="0"/>
        <w:jc w:val="both"/>
        <w:rPr>
          <w:rFonts w:ascii="Times New Roman" w:hAnsi="Times New Roman" w:cs="Times New Roman"/>
          <w:sz w:val="24"/>
          <w:szCs w:val="24"/>
        </w:rPr>
      </w:pPr>
      <w:r w:rsidRPr="00CF214F">
        <w:rPr>
          <w:rFonts w:ascii="Times New Roman" w:hAnsi="Times New Roman" w:cs="Times New Roman"/>
          <w:sz w:val="24"/>
          <w:szCs w:val="24"/>
        </w:rPr>
        <w:t>časový harmonogram prechodu kompetencií na ECB je veľmi ambiciózny, je s ním spojené veľké operačné riziko (od 1. 1. 2014 má ECB dohliadať všetkých 6230 bánk v eurozóne)</w:t>
      </w:r>
    </w:p>
    <w:p w:rsidR="00F727C4" w:rsidRPr="00CF214F" w:rsidRDefault="00F727C4" w:rsidP="00153E76">
      <w:pPr>
        <w:pStyle w:val="Odsekzoznamu"/>
        <w:numPr>
          <w:ilvl w:val="0"/>
          <w:numId w:val="14"/>
        </w:numPr>
        <w:spacing w:after="0"/>
        <w:jc w:val="both"/>
        <w:rPr>
          <w:rFonts w:ascii="Times New Roman" w:hAnsi="Times New Roman" w:cs="Times New Roman"/>
          <w:sz w:val="24"/>
          <w:szCs w:val="24"/>
        </w:rPr>
      </w:pPr>
      <w:r w:rsidRPr="00CF214F">
        <w:rPr>
          <w:rFonts w:ascii="Times New Roman" w:hAnsi="Times New Roman" w:cs="Times New Roman"/>
          <w:sz w:val="24"/>
          <w:szCs w:val="24"/>
        </w:rPr>
        <w:t>Návrh stanovuje povinnosť platenia príspevkov dohliadaných subjektov (viac ako 6000 bánk), čím NBS prichádza o podstatnú časť príjmov od dohliadaných subjektov</w:t>
      </w:r>
    </w:p>
    <w:p w:rsidR="00F727C4" w:rsidRPr="00CF214F" w:rsidRDefault="00F727C4" w:rsidP="00153E76">
      <w:pPr>
        <w:spacing w:after="0"/>
        <w:jc w:val="both"/>
        <w:rPr>
          <w:rFonts w:ascii="Times New Roman" w:hAnsi="Times New Roman" w:cs="Times New Roman"/>
          <w:sz w:val="24"/>
          <w:szCs w:val="24"/>
        </w:rPr>
      </w:pPr>
    </w:p>
    <w:p w:rsidR="00F727C4" w:rsidRPr="00CF214F" w:rsidRDefault="001E6F23" w:rsidP="00153E76">
      <w:pPr>
        <w:pStyle w:val="a3520normalp6"/>
        <w:numPr>
          <w:ilvl w:val="0"/>
          <w:numId w:val="2"/>
        </w:numPr>
        <w:spacing w:before="0" w:after="0" w:line="276" w:lineRule="auto"/>
        <w:rPr>
          <w:b/>
          <w:lang w:val="sk-SK"/>
        </w:rPr>
      </w:pPr>
      <w:r w:rsidRPr="00CF214F">
        <w:rPr>
          <w:b/>
          <w:lang w:val="sk-SK"/>
        </w:rPr>
        <w:t>Pozícia MF SR</w:t>
      </w:r>
    </w:p>
    <w:p w:rsidR="00CA2BE4" w:rsidRPr="00CF214F" w:rsidRDefault="00CA2BE4" w:rsidP="00153E76">
      <w:p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SR vo všeobecnosti víta konkrétne kroky na vytvorenie bankovej únie ako výsledku úsilia Európskej komisie o zefektívnenie systému finančnej regulácie, dohľadu nad finančným trhom a riešenia otázok finančnej stability. Súhlasíme z názorom, že najväčšie riziko pre finančnú stabilitu pochádza z bankového sektora tak z tzv. systémových, ako aj nesystémových bánk. Slovenská republika z tohto dôvodu vo všeobecnosti podporuje vytvorenie jednotného bankového dohľadu (dňa 14. septembra 2012 bola zástupcami SR na neformálnom stretnutí ministrov financií a guvernérov centrálnych bánk na Cypre odprezentovaná podpora vytvoreniu bankovej únie), ktorý by mal tvoriť prvý pilier tzv. Bankovej únie. Vytvorenie bankovej únie je z pohľadu SR logickým vyústením snáh Európskej komisie o zefektívnenie systému finančnej regulácie, dohľadu nad finančným trhom a riešenie otázok finančnej stability. Treba však zdôrazniť, že JMD so sebou prináša množstvo rizík pre SR, ktoré bude potrebné v priebehu rokovaní čo najviac minimalizovať, keďže otázka home-host prístupu je pre SR obzvlášť citlivá, vzhľadom k postaveniu dcérskych spoločností bánk so sídlom v EÚ, ktoré predstavujú približne 95% slovenského bankového sektora. </w:t>
      </w:r>
    </w:p>
    <w:p w:rsidR="00CA2BE4" w:rsidRPr="00CF214F" w:rsidRDefault="00CA2BE4" w:rsidP="00153E76">
      <w:pPr>
        <w:pStyle w:val="a3520normalp6"/>
        <w:spacing w:before="0" w:after="0" w:line="276" w:lineRule="auto"/>
        <w:rPr>
          <w:b/>
          <w:lang w:val="sk-SK"/>
        </w:rPr>
      </w:pPr>
    </w:p>
    <w:p w:rsidR="00CA2BE4" w:rsidRPr="00CF214F" w:rsidRDefault="00CA2BE4" w:rsidP="00153E76">
      <w:pPr>
        <w:spacing w:after="0"/>
        <w:jc w:val="both"/>
        <w:rPr>
          <w:rFonts w:ascii="Times New Roman" w:hAnsi="Times New Roman" w:cs="Times New Roman"/>
          <w:sz w:val="24"/>
          <w:szCs w:val="24"/>
        </w:rPr>
      </w:pPr>
      <w:r w:rsidRPr="00CF214F">
        <w:rPr>
          <w:rFonts w:ascii="Times New Roman" w:hAnsi="Times New Roman" w:cs="Times New Roman"/>
          <w:sz w:val="24"/>
          <w:szCs w:val="24"/>
        </w:rPr>
        <w:t xml:space="preserve">Z hľadiska možných dopadov na národné verejné financie podporuje SR vytvorenie jednotného mechanizmu dohľadu paralelne spolu s rezolučným mechanizmom a rezolučným fondom. SR pripúšťa, že banková únia by mohla byť následne v ďalších krokoch doplnená o centrálny európsky mechanizmus ochrany vkladov, za predpokladu zabezpečenia zjednotenia systému a spravodlivej úrovne príspevkov. SR má pochybnosti o reálnosti harmonogramu EK pri vytváraní jednotného mechanizmu dohľadu navrhnutom EK, kde rýchlosť prijímania môže ísť na úkor kvality a bankového dohľadu. Návrh EK na vytvorenie jednotného mechanizmu dohľadu predstavuje pre SR určité riziká tak pre finančnú stabilitu ako aj fiškálne riziká. Je nevyhnutné, aby akékoľvek presuny kompetencií z národných úrovní na európsku úroveň boli sprevádzané aj ekvivalentným presunom zodpovedností. Bankové inštitúcie v SR tvoria iba malú časť aktív v rámci nadnárodných finančných skupín. Z uvedeného dôvodu tak s veľkou pravdepodobnosťou nebudú ani predmetom veľkého záujmu zo strany regulátora na európskej úrovni. Konečné dôsledky pre finančnú stabilitu však ostatnú v SR. Z uvedeného dôvodu banková únia by mala už v prvej fáze obsahovať i detaily k rezolučnému rámcu a rámcu poistenia vkladov vrátane vyjasnenia mechanizmu v prípade vzniku krízovej situácie. </w:t>
      </w:r>
    </w:p>
    <w:p w:rsidR="004E67C4" w:rsidRPr="00CF214F" w:rsidRDefault="004E67C4" w:rsidP="00153E76">
      <w:pPr>
        <w:spacing w:after="0"/>
        <w:jc w:val="both"/>
        <w:rPr>
          <w:rFonts w:ascii="Times New Roman" w:hAnsi="Times New Roman" w:cs="Times New Roman"/>
          <w:sz w:val="24"/>
          <w:szCs w:val="24"/>
        </w:rPr>
      </w:pPr>
    </w:p>
    <w:p w:rsidR="00471053" w:rsidRPr="00CF214F" w:rsidRDefault="00471053" w:rsidP="00153E76">
      <w:pPr>
        <w:spacing w:after="0"/>
        <w:jc w:val="both"/>
        <w:rPr>
          <w:rFonts w:ascii="Times New Roman" w:hAnsi="Times New Roman" w:cs="Times New Roman"/>
          <w:sz w:val="24"/>
          <w:szCs w:val="24"/>
        </w:rPr>
      </w:pPr>
    </w:p>
    <w:sectPr w:rsidR="00471053" w:rsidRPr="00CF214F" w:rsidSect="00D3362A">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3BA6" w:rsidRDefault="00CB3BA6" w:rsidP="00277AA9">
      <w:pPr>
        <w:spacing w:after="0" w:line="240" w:lineRule="auto"/>
      </w:pPr>
      <w:r>
        <w:separator/>
      </w:r>
    </w:p>
  </w:endnote>
  <w:endnote w:type="continuationSeparator" w:id="0">
    <w:p w:rsidR="00CB3BA6" w:rsidRDefault="00CB3BA6" w:rsidP="00277A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Narrow">
    <w:altName w:val="Century Gothic"/>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20626"/>
      <w:docPartObj>
        <w:docPartGallery w:val="Page Numbers (Bottom of Page)"/>
        <w:docPartUnique/>
      </w:docPartObj>
    </w:sdtPr>
    <w:sdtEndPr/>
    <w:sdtContent>
      <w:p w:rsidR="00115415" w:rsidRDefault="00DC1289">
        <w:pPr>
          <w:pStyle w:val="Pta"/>
          <w:jc w:val="center"/>
        </w:pPr>
        <w:r>
          <w:fldChar w:fldCharType="begin"/>
        </w:r>
        <w:r>
          <w:instrText xml:space="preserve"> PAGE   \* MERGEFORMAT </w:instrText>
        </w:r>
        <w:r>
          <w:fldChar w:fldCharType="separate"/>
        </w:r>
        <w:r w:rsidR="00CB3BA6">
          <w:rPr>
            <w:noProof/>
          </w:rPr>
          <w:t>1</w:t>
        </w:r>
        <w:r>
          <w:rPr>
            <w:noProof/>
          </w:rPr>
          <w:fldChar w:fldCharType="end"/>
        </w:r>
      </w:p>
    </w:sdtContent>
  </w:sdt>
  <w:p w:rsidR="00115415" w:rsidRDefault="00115415">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3BA6" w:rsidRDefault="00CB3BA6" w:rsidP="00277AA9">
      <w:pPr>
        <w:spacing w:after="0" w:line="240" w:lineRule="auto"/>
      </w:pPr>
      <w:r>
        <w:separator/>
      </w:r>
    </w:p>
  </w:footnote>
  <w:footnote w:type="continuationSeparator" w:id="0">
    <w:p w:rsidR="00CB3BA6" w:rsidRDefault="00CB3BA6" w:rsidP="00277AA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7654"/>
    <w:multiLevelType w:val="hybridMultilevel"/>
    <w:tmpl w:val="A8C06D3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B8D573D"/>
    <w:multiLevelType w:val="hybridMultilevel"/>
    <w:tmpl w:val="9D04263A"/>
    <w:lvl w:ilvl="0" w:tplc="E23814DC">
      <w:numFmt w:val="bullet"/>
      <w:lvlText w:val=""/>
      <w:lvlJc w:val="left"/>
      <w:pPr>
        <w:ind w:left="720" w:hanging="360"/>
      </w:pPr>
      <w:rPr>
        <w:rFonts w:ascii="Symbol" w:eastAsiaTheme="minorHAnsi" w:hAnsi="Symbol" w:cstheme="minorBidi" w:hint="default"/>
        <w:b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18ED0121"/>
    <w:multiLevelType w:val="hybridMultilevel"/>
    <w:tmpl w:val="9A6CC61C"/>
    <w:lvl w:ilvl="0" w:tplc="041B000F">
      <w:start w:val="1"/>
      <w:numFmt w:val="decimal"/>
      <w:lvlText w:val="%1."/>
      <w:lvlJc w:val="left"/>
      <w:pPr>
        <w:ind w:left="720" w:hanging="360"/>
      </w:pPr>
      <w:rPr>
        <w:rFonts w:hint="default"/>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2268168D"/>
    <w:multiLevelType w:val="hybridMultilevel"/>
    <w:tmpl w:val="82E28252"/>
    <w:lvl w:ilvl="0" w:tplc="041B0005">
      <w:start w:val="1"/>
      <w:numFmt w:val="bullet"/>
      <w:lvlText w:val=""/>
      <w:lvlJc w:val="left"/>
      <w:pPr>
        <w:tabs>
          <w:tab w:val="num" w:pos="720"/>
        </w:tabs>
        <w:ind w:left="720" w:hanging="360"/>
      </w:pPr>
      <w:rPr>
        <w:rFonts w:ascii="Wingdings" w:hAnsi="Wingdings" w:hint="default"/>
      </w:rPr>
    </w:lvl>
    <w:lvl w:ilvl="1" w:tplc="041B0003" w:tentative="1">
      <w:start w:val="1"/>
      <w:numFmt w:val="bullet"/>
      <w:lvlText w:val="o"/>
      <w:lvlJc w:val="left"/>
      <w:pPr>
        <w:tabs>
          <w:tab w:val="num" w:pos="1440"/>
        </w:tabs>
        <w:ind w:left="1440" w:hanging="360"/>
      </w:pPr>
      <w:rPr>
        <w:rFonts w:ascii="Courier New" w:hAnsi="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
    <w:nsid w:val="22DB6E49"/>
    <w:multiLevelType w:val="hybridMultilevel"/>
    <w:tmpl w:val="BF907DB0"/>
    <w:lvl w:ilvl="0" w:tplc="6A54B860">
      <w:numFmt w:val="bullet"/>
      <w:lvlText w:val="-"/>
      <w:lvlJc w:val="left"/>
      <w:pPr>
        <w:ind w:left="720" w:hanging="360"/>
      </w:pPr>
      <w:rPr>
        <w:rFonts w:ascii="Arial Narrow" w:eastAsia="Calibri" w:hAnsi="Arial Narrow"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23D8409B"/>
    <w:multiLevelType w:val="hybridMultilevel"/>
    <w:tmpl w:val="8506981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27936B09"/>
    <w:multiLevelType w:val="hybridMultilevel"/>
    <w:tmpl w:val="66261832"/>
    <w:lvl w:ilvl="0" w:tplc="4016154A">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38920740"/>
    <w:multiLevelType w:val="hybridMultilevel"/>
    <w:tmpl w:val="24F8C8A6"/>
    <w:lvl w:ilvl="0" w:tplc="7EB424B8">
      <w:start w:val="4"/>
      <w:numFmt w:val="bullet"/>
      <w:lvlText w:val="-"/>
      <w:lvlJc w:val="left"/>
      <w:pPr>
        <w:ind w:left="720" w:hanging="360"/>
      </w:pPr>
      <w:rPr>
        <w:rFonts w:ascii="Arial Narrow" w:eastAsia="Times New Roman" w:hAnsi="Arial Narrow" w:cs="Arial" w:hint="default"/>
        <w:sz w:val="22"/>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3ED7099D"/>
    <w:multiLevelType w:val="hybridMultilevel"/>
    <w:tmpl w:val="E9AE4FE6"/>
    <w:lvl w:ilvl="0" w:tplc="7ADCB22A">
      <w:start w:val="1"/>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43EB5864"/>
    <w:multiLevelType w:val="hybridMultilevel"/>
    <w:tmpl w:val="F97EDA60"/>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0">
    <w:nsid w:val="455109D4"/>
    <w:multiLevelType w:val="hybridMultilevel"/>
    <w:tmpl w:val="613462B6"/>
    <w:lvl w:ilvl="0" w:tplc="069E56D4">
      <w:start w:val="1"/>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nsid w:val="54F634EB"/>
    <w:multiLevelType w:val="hybridMultilevel"/>
    <w:tmpl w:val="259C4710"/>
    <w:lvl w:ilvl="0" w:tplc="BED44F8C">
      <w:start w:val="10"/>
      <w:numFmt w:val="bullet"/>
      <w:lvlText w:val="-"/>
      <w:lvlJc w:val="left"/>
      <w:pPr>
        <w:ind w:left="720" w:hanging="360"/>
      </w:pPr>
      <w:rPr>
        <w:rFonts w:ascii="Times New Roman" w:eastAsia="Times New Roman" w:hAnsi="Times New Roman"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nsid w:val="6A7136F2"/>
    <w:multiLevelType w:val="hybridMultilevel"/>
    <w:tmpl w:val="3E141A5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6CB36735"/>
    <w:multiLevelType w:val="hybridMultilevel"/>
    <w:tmpl w:val="6C56937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6F641A3E"/>
    <w:multiLevelType w:val="hybridMultilevel"/>
    <w:tmpl w:val="505A1ED0"/>
    <w:lvl w:ilvl="0" w:tplc="ED4C2AFC">
      <w:numFmt w:val="bullet"/>
      <w:lvlText w:val="-"/>
      <w:lvlJc w:val="left"/>
      <w:pPr>
        <w:ind w:left="720" w:hanging="360"/>
      </w:pPr>
      <w:rPr>
        <w:rFonts w:ascii="Arial Narrow" w:eastAsiaTheme="minorHAnsi" w:hAnsi="Arial Narrow"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7"/>
  </w:num>
  <w:num w:numId="4">
    <w:abstractNumId w:val="3"/>
  </w:num>
  <w:num w:numId="5">
    <w:abstractNumId w:val="1"/>
  </w:num>
  <w:num w:numId="6">
    <w:abstractNumId w:val="10"/>
  </w:num>
  <w:num w:numId="7">
    <w:abstractNumId w:val="2"/>
  </w:num>
  <w:num w:numId="8">
    <w:abstractNumId w:val="8"/>
  </w:num>
  <w:num w:numId="9">
    <w:abstractNumId w:val="4"/>
  </w:num>
  <w:num w:numId="10">
    <w:abstractNumId w:val="0"/>
  </w:num>
  <w:num w:numId="11">
    <w:abstractNumId w:val="11"/>
  </w:num>
  <w:num w:numId="12">
    <w:abstractNumId w:val="13"/>
  </w:num>
  <w:num w:numId="13">
    <w:abstractNumId w:val="12"/>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53E"/>
    <w:rsid w:val="00002AA9"/>
    <w:rsid w:val="0001435C"/>
    <w:rsid w:val="000271F4"/>
    <w:rsid w:val="00043839"/>
    <w:rsid w:val="00115415"/>
    <w:rsid w:val="00153E76"/>
    <w:rsid w:val="001A1A88"/>
    <w:rsid w:val="001E6F23"/>
    <w:rsid w:val="0022153E"/>
    <w:rsid w:val="002763A4"/>
    <w:rsid w:val="00277AA9"/>
    <w:rsid w:val="002B4938"/>
    <w:rsid w:val="00351760"/>
    <w:rsid w:val="00471053"/>
    <w:rsid w:val="004E67C4"/>
    <w:rsid w:val="0066287F"/>
    <w:rsid w:val="006872B2"/>
    <w:rsid w:val="00695CAB"/>
    <w:rsid w:val="006A7CD2"/>
    <w:rsid w:val="006C15D1"/>
    <w:rsid w:val="006E36F5"/>
    <w:rsid w:val="00723311"/>
    <w:rsid w:val="00782DE2"/>
    <w:rsid w:val="008247D2"/>
    <w:rsid w:val="00881E65"/>
    <w:rsid w:val="00947AEA"/>
    <w:rsid w:val="00951A0D"/>
    <w:rsid w:val="009B7965"/>
    <w:rsid w:val="009E5982"/>
    <w:rsid w:val="00A8025E"/>
    <w:rsid w:val="00AE1536"/>
    <w:rsid w:val="00BA72C0"/>
    <w:rsid w:val="00C11A60"/>
    <w:rsid w:val="00C1571B"/>
    <w:rsid w:val="00C40633"/>
    <w:rsid w:val="00C831C1"/>
    <w:rsid w:val="00C8583D"/>
    <w:rsid w:val="00CA2BE4"/>
    <w:rsid w:val="00CB3BA6"/>
    <w:rsid w:val="00CE2440"/>
    <w:rsid w:val="00CF214F"/>
    <w:rsid w:val="00D3362A"/>
    <w:rsid w:val="00D4549B"/>
    <w:rsid w:val="00D55975"/>
    <w:rsid w:val="00D83A24"/>
    <w:rsid w:val="00DC1289"/>
    <w:rsid w:val="00E21E3C"/>
    <w:rsid w:val="00E718D7"/>
    <w:rsid w:val="00E83F66"/>
    <w:rsid w:val="00F632CA"/>
    <w:rsid w:val="00F727C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Theme="minorHAnsi" w:hAnsi="Arial Narrow" w:cstheme="minorBidi"/>
        <w:sz w:val="22"/>
        <w:szCs w:val="36"/>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2153E"/>
  </w:style>
  <w:style w:type="paragraph" w:styleId="Nadpis4">
    <w:name w:val="heading 4"/>
    <w:basedOn w:val="Normlny"/>
    <w:next w:val="Normlny"/>
    <w:link w:val="Nadpis4Char"/>
    <w:uiPriority w:val="9"/>
    <w:semiHidden/>
    <w:unhideWhenUsed/>
    <w:qFormat/>
    <w:rsid w:val="004E67C4"/>
    <w:pPr>
      <w:keepNext/>
      <w:spacing w:before="240" w:after="60"/>
      <w:outlineLvl w:val="3"/>
    </w:pPr>
    <w:rPr>
      <w:rFonts w:ascii="Calibri" w:eastAsia="Times New Roman" w:hAnsi="Calibri" w:cs="Times New Roman"/>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longtext">
    <w:name w:val="long_text"/>
    <w:basedOn w:val="Predvolenpsmoodseku"/>
    <w:rsid w:val="0022153E"/>
  </w:style>
  <w:style w:type="paragraph" w:styleId="Odsekzoznamu">
    <w:name w:val="List Paragraph"/>
    <w:basedOn w:val="Normlny"/>
    <w:uiPriority w:val="34"/>
    <w:qFormat/>
    <w:rsid w:val="0022153E"/>
    <w:pPr>
      <w:ind w:left="720"/>
      <w:contextualSpacing/>
    </w:pPr>
  </w:style>
  <w:style w:type="character" w:customStyle="1" w:styleId="hps">
    <w:name w:val="hps"/>
    <w:basedOn w:val="Predvolenpsmoodseku"/>
    <w:rsid w:val="00951A0D"/>
  </w:style>
  <w:style w:type="paragraph" w:styleId="Hlavika">
    <w:name w:val="header"/>
    <w:basedOn w:val="Normlny"/>
    <w:link w:val="HlavikaChar"/>
    <w:uiPriority w:val="99"/>
    <w:semiHidden/>
    <w:unhideWhenUsed/>
    <w:rsid w:val="00277AA9"/>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277AA9"/>
  </w:style>
  <w:style w:type="paragraph" w:styleId="Pta">
    <w:name w:val="footer"/>
    <w:basedOn w:val="Normlny"/>
    <w:link w:val="PtaChar"/>
    <w:uiPriority w:val="99"/>
    <w:unhideWhenUsed/>
    <w:rsid w:val="00277AA9"/>
    <w:pPr>
      <w:tabs>
        <w:tab w:val="center" w:pos="4536"/>
        <w:tab w:val="right" w:pos="9072"/>
      </w:tabs>
      <w:spacing w:after="0" w:line="240" w:lineRule="auto"/>
    </w:pPr>
  </w:style>
  <w:style w:type="character" w:customStyle="1" w:styleId="PtaChar">
    <w:name w:val="Päta Char"/>
    <w:basedOn w:val="Predvolenpsmoodseku"/>
    <w:link w:val="Pta"/>
    <w:uiPriority w:val="99"/>
    <w:rsid w:val="00277AA9"/>
  </w:style>
  <w:style w:type="paragraph" w:styleId="Textbubliny">
    <w:name w:val="Balloon Text"/>
    <w:basedOn w:val="Normlny"/>
    <w:link w:val="TextbublinyChar"/>
    <w:uiPriority w:val="99"/>
    <w:semiHidden/>
    <w:unhideWhenUsed/>
    <w:rsid w:val="002B4938"/>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B4938"/>
    <w:rPr>
      <w:rFonts w:ascii="Tahoma" w:hAnsi="Tahoma" w:cs="Tahoma"/>
      <w:sz w:val="16"/>
      <w:szCs w:val="16"/>
    </w:rPr>
  </w:style>
  <w:style w:type="paragraph" w:customStyle="1" w:styleId="a3520normalp6">
    <w:name w:val="a__35__20_normal_p6"/>
    <w:basedOn w:val="Normlny"/>
    <w:rsid w:val="004E67C4"/>
    <w:pPr>
      <w:spacing w:before="200" w:after="120" w:line="240" w:lineRule="auto"/>
      <w:jc w:val="both"/>
    </w:pPr>
    <w:rPr>
      <w:rFonts w:ascii="Times New Roman" w:eastAsia="Times New Roman" w:hAnsi="Times New Roman" w:cs="Times New Roman"/>
      <w:sz w:val="24"/>
      <w:szCs w:val="24"/>
      <w:lang w:val="en-GB" w:eastAsia="en-GB"/>
    </w:rPr>
  </w:style>
  <w:style w:type="character" w:customStyle="1" w:styleId="Nadpis4Char">
    <w:name w:val="Nadpis 4 Char"/>
    <w:basedOn w:val="Predvolenpsmoodseku"/>
    <w:link w:val="Nadpis4"/>
    <w:uiPriority w:val="9"/>
    <w:semiHidden/>
    <w:rsid w:val="004E67C4"/>
    <w:rPr>
      <w:rFonts w:ascii="Calibri" w:eastAsia="Times New Roman" w:hAnsi="Calibri"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Narrow" w:eastAsiaTheme="minorHAnsi" w:hAnsi="Arial Narrow" w:cstheme="minorBidi"/>
        <w:sz w:val="22"/>
        <w:szCs w:val="36"/>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2153E"/>
  </w:style>
  <w:style w:type="paragraph" w:styleId="Nadpis4">
    <w:name w:val="heading 4"/>
    <w:basedOn w:val="Normlny"/>
    <w:next w:val="Normlny"/>
    <w:link w:val="Nadpis4Char"/>
    <w:uiPriority w:val="9"/>
    <w:semiHidden/>
    <w:unhideWhenUsed/>
    <w:qFormat/>
    <w:rsid w:val="004E67C4"/>
    <w:pPr>
      <w:keepNext/>
      <w:spacing w:before="240" w:after="60"/>
      <w:outlineLvl w:val="3"/>
    </w:pPr>
    <w:rPr>
      <w:rFonts w:ascii="Calibri" w:eastAsia="Times New Roman" w:hAnsi="Calibri" w:cs="Times New Roman"/>
      <w:b/>
      <w:b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longtext">
    <w:name w:val="long_text"/>
    <w:basedOn w:val="Predvolenpsmoodseku"/>
    <w:rsid w:val="0022153E"/>
  </w:style>
  <w:style w:type="paragraph" w:styleId="Odsekzoznamu">
    <w:name w:val="List Paragraph"/>
    <w:basedOn w:val="Normlny"/>
    <w:uiPriority w:val="34"/>
    <w:qFormat/>
    <w:rsid w:val="0022153E"/>
    <w:pPr>
      <w:ind w:left="720"/>
      <w:contextualSpacing/>
    </w:pPr>
  </w:style>
  <w:style w:type="character" w:customStyle="1" w:styleId="hps">
    <w:name w:val="hps"/>
    <w:basedOn w:val="Predvolenpsmoodseku"/>
    <w:rsid w:val="00951A0D"/>
  </w:style>
  <w:style w:type="paragraph" w:styleId="Hlavika">
    <w:name w:val="header"/>
    <w:basedOn w:val="Normlny"/>
    <w:link w:val="HlavikaChar"/>
    <w:uiPriority w:val="99"/>
    <w:semiHidden/>
    <w:unhideWhenUsed/>
    <w:rsid w:val="00277AA9"/>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277AA9"/>
  </w:style>
  <w:style w:type="paragraph" w:styleId="Pta">
    <w:name w:val="footer"/>
    <w:basedOn w:val="Normlny"/>
    <w:link w:val="PtaChar"/>
    <w:uiPriority w:val="99"/>
    <w:unhideWhenUsed/>
    <w:rsid w:val="00277AA9"/>
    <w:pPr>
      <w:tabs>
        <w:tab w:val="center" w:pos="4536"/>
        <w:tab w:val="right" w:pos="9072"/>
      </w:tabs>
      <w:spacing w:after="0" w:line="240" w:lineRule="auto"/>
    </w:pPr>
  </w:style>
  <w:style w:type="character" w:customStyle="1" w:styleId="PtaChar">
    <w:name w:val="Päta Char"/>
    <w:basedOn w:val="Predvolenpsmoodseku"/>
    <w:link w:val="Pta"/>
    <w:uiPriority w:val="99"/>
    <w:rsid w:val="00277AA9"/>
  </w:style>
  <w:style w:type="paragraph" w:styleId="Textbubliny">
    <w:name w:val="Balloon Text"/>
    <w:basedOn w:val="Normlny"/>
    <w:link w:val="TextbublinyChar"/>
    <w:uiPriority w:val="99"/>
    <w:semiHidden/>
    <w:unhideWhenUsed/>
    <w:rsid w:val="002B4938"/>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B4938"/>
    <w:rPr>
      <w:rFonts w:ascii="Tahoma" w:hAnsi="Tahoma" w:cs="Tahoma"/>
      <w:sz w:val="16"/>
      <w:szCs w:val="16"/>
    </w:rPr>
  </w:style>
  <w:style w:type="paragraph" w:customStyle="1" w:styleId="a3520normalp6">
    <w:name w:val="a__35__20_normal_p6"/>
    <w:basedOn w:val="Normlny"/>
    <w:rsid w:val="004E67C4"/>
    <w:pPr>
      <w:spacing w:before="200" w:after="120" w:line="240" w:lineRule="auto"/>
      <w:jc w:val="both"/>
    </w:pPr>
    <w:rPr>
      <w:rFonts w:ascii="Times New Roman" w:eastAsia="Times New Roman" w:hAnsi="Times New Roman" w:cs="Times New Roman"/>
      <w:sz w:val="24"/>
      <w:szCs w:val="24"/>
      <w:lang w:val="en-GB" w:eastAsia="en-GB"/>
    </w:rPr>
  </w:style>
  <w:style w:type="character" w:customStyle="1" w:styleId="Nadpis4Char">
    <w:name w:val="Nadpis 4 Char"/>
    <w:basedOn w:val="Predvolenpsmoodseku"/>
    <w:link w:val="Nadpis4"/>
    <w:uiPriority w:val="9"/>
    <w:semiHidden/>
    <w:rsid w:val="004E67C4"/>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e60a29af-d413-48d4-bd90-fe9d2a897e4b">WKX3UHSAJ2R6-2-322108</_dlc_DocId>
    <_dlc_DocIdUrl xmlns="e60a29af-d413-48d4-bd90-fe9d2a897e4b">
      <Url>https://ovdmasv601/sites/DMS/_layouts/15/DocIdRedir.aspx?ID=WKX3UHSAJ2R6-2-322108</Url>
      <Description>WKX3UHSAJ2R6-2-322108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C1C60B6-A2D1-46BB-A1CA-AC842ED90E6E}"/>
</file>

<file path=customXml/itemProps2.xml><?xml version="1.0" encoding="utf-8"?>
<ds:datastoreItem xmlns:ds="http://schemas.openxmlformats.org/officeDocument/2006/customXml" ds:itemID="{35341B7C-B957-48B2-8369-C72BFD826D76}"/>
</file>

<file path=customXml/itemProps3.xml><?xml version="1.0" encoding="utf-8"?>
<ds:datastoreItem xmlns:ds="http://schemas.openxmlformats.org/officeDocument/2006/customXml" ds:itemID="{93E7E04B-A2D3-4FE3-A5BA-4E1F53F26379}"/>
</file>

<file path=customXml/itemProps4.xml><?xml version="1.0" encoding="utf-8"?>
<ds:datastoreItem xmlns:ds="http://schemas.openxmlformats.org/officeDocument/2006/customXml" ds:itemID="{A06E433B-E113-41A8-B5F5-694E9A4AF502}"/>
</file>

<file path=docProps/app.xml><?xml version="1.0" encoding="utf-8"?>
<Properties xmlns="http://schemas.openxmlformats.org/officeDocument/2006/extended-properties" xmlns:vt="http://schemas.openxmlformats.org/officeDocument/2006/docPropsVTypes">
  <Template>Normal</Template>
  <TotalTime>51</TotalTime>
  <Pages>5</Pages>
  <Words>2050</Words>
  <Characters>11687</Characters>
  <Application>Microsoft Office Word</Application>
  <DocSecurity>0</DocSecurity>
  <Lines>97</Lines>
  <Paragraphs>27</Paragraphs>
  <ScaleCrop>false</ScaleCrop>
  <HeadingPairs>
    <vt:vector size="4" baseType="variant">
      <vt:variant>
        <vt:lpstr>Názov</vt:lpstr>
      </vt:variant>
      <vt:variant>
        <vt:i4>1</vt:i4>
      </vt:variant>
      <vt:variant>
        <vt:lpstr>Nadpisy</vt:lpstr>
      </vt:variant>
      <vt:variant>
        <vt:i4>2</vt:i4>
      </vt:variant>
    </vt:vector>
  </HeadingPairs>
  <TitlesOfParts>
    <vt:vector size="3" baseType="lpstr">
      <vt:lpstr/>
      <vt:lpstr>Ad1: Návrh nariadenia vytvorenie jednotného mechanizmu dohľadu</vt:lpstr>
      <vt:lpstr>Geografické pokrytie - Jednotný mechanizmus dohľadu by sa mal zaviesť v ČŠ euroz</vt:lpstr>
    </vt:vector>
  </TitlesOfParts>
  <Company>MF SR</Company>
  <LinksUpToDate>false</LinksUpToDate>
  <CharactersWithSpaces>13710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jherkova</dc:creator>
  <cp:lastModifiedBy>Chandoga Roman</cp:lastModifiedBy>
  <cp:revision>6</cp:revision>
  <cp:lastPrinted>2012-09-28T07:40:00Z</cp:lastPrinted>
  <dcterms:created xsi:type="dcterms:W3CDTF">2012-09-26T14:28:00Z</dcterms:created>
  <dcterms:modified xsi:type="dcterms:W3CDTF">2012-09-28T09:32:00Z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96ad187d-db62-4be4-b5b0-909be5f4fd7d</vt:lpwstr>
  </property>
</Properties>
</file>